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01E6556" w:rsidR="00F110CD" w:rsidRPr="00BE3B65" w:rsidRDefault="00F110CD" w:rsidP="1002623E">
      <w:pPr>
        <w:pStyle w:val="Header"/>
        <w:tabs>
          <w:tab w:val="right" w:pos="9639"/>
        </w:tabs>
        <w:jc w:val="both"/>
        <w:rPr>
          <w:noProof w:val="0"/>
          <w:sz w:val="24"/>
          <w:szCs w:val="24"/>
        </w:rPr>
      </w:pPr>
      <w:r w:rsidRPr="006C621A">
        <w:rPr>
          <w:noProof w:val="0"/>
          <w:sz w:val="24"/>
          <w:szCs w:val="24"/>
        </w:rPr>
        <w:t>3GPP TSG RA</w:t>
      </w:r>
      <w:r w:rsidR="0077316B" w:rsidRPr="006C621A">
        <w:rPr>
          <w:noProof w:val="0"/>
          <w:sz w:val="24"/>
          <w:szCs w:val="24"/>
        </w:rPr>
        <w:t>N WG1 Meeting #</w:t>
      </w:r>
      <w:r w:rsidR="00645CF8">
        <w:rPr>
          <w:noProof w:val="0"/>
          <w:sz w:val="24"/>
          <w:szCs w:val="24"/>
        </w:rPr>
        <w:t>96</w:t>
      </w:r>
      <w:r w:rsidR="001348FE">
        <w:rPr>
          <w:bCs/>
          <w:noProof w:val="0"/>
          <w:sz w:val="24"/>
          <w:szCs w:val="24"/>
        </w:rPr>
        <w:tab/>
      </w:r>
      <w:r w:rsidR="001348FE" w:rsidRPr="006C621A">
        <w:rPr>
          <w:noProof w:val="0"/>
          <w:sz w:val="24"/>
          <w:szCs w:val="24"/>
        </w:rPr>
        <w:t>R1-1</w:t>
      </w:r>
      <w:r w:rsidR="52551DDD" w:rsidRPr="006C621A">
        <w:rPr>
          <w:noProof w:val="0"/>
          <w:sz w:val="24"/>
          <w:szCs w:val="24"/>
        </w:rPr>
        <w:t>9</w:t>
      </w:r>
      <w:r w:rsidR="51632B8E" w:rsidRPr="006C621A">
        <w:rPr>
          <w:noProof w:val="0"/>
          <w:sz w:val="24"/>
          <w:szCs w:val="24"/>
        </w:rPr>
        <w:t>0</w:t>
      </w:r>
      <w:r w:rsidR="00C15CCA">
        <w:rPr>
          <w:noProof w:val="0"/>
          <w:sz w:val="24"/>
          <w:szCs w:val="24"/>
        </w:rPr>
        <w:t>1848</w:t>
      </w:r>
      <w:bookmarkStart w:id="0" w:name="_GoBack"/>
      <w:bookmarkEnd w:id="0"/>
    </w:p>
    <w:p w14:paraId="2CFE1919" w14:textId="58758C76" w:rsidR="00850D96" w:rsidRDefault="004F5A61" w:rsidP="008028D8">
      <w:pPr>
        <w:pStyle w:val="Header"/>
        <w:jc w:val="both"/>
        <w:rPr>
          <w:bCs/>
          <w:noProof w:val="0"/>
          <w:sz w:val="24"/>
          <w:szCs w:val="24"/>
        </w:rPr>
      </w:pPr>
      <w:r w:rsidRPr="004F5A61">
        <w:rPr>
          <w:bCs/>
          <w:noProof w:val="0"/>
          <w:sz w:val="24"/>
          <w:szCs w:val="24"/>
        </w:rPr>
        <w:t>Athens, Greece, 25th February – 1st March, 2019</w:t>
      </w:r>
    </w:p>
    <w:p w14:paraId="309A65FC" w14:textId="77777777" w:rsidR="004F5A61" w:rsidRPr="00850D96" w:rsidRDefault="004F5A61" w:rsidP="008028D8">
      <w:pPr>
        <w:pStyle w:val="Header"/>
        <w:jc w:val="both"/>
        <w:rPr>
          <w:bCs/>
          <w:noProof w:val="0"/>
          <w:sz w:val="24"/>
          <w:lang w:val="en-GB" w:eastAsia="ja-JP"/>
        </w:rPr>
      </w:pPr>
    </w:p>
    <w:p w14:paraId="30E02941" w14:textId="715C938A" w:rsidR="0034111C" w:rsidRPr="001E5981" w:rsidRDefault="0034111C" w:rsidP="008028D8">
      <w:pPr>
        <w:pStyle w:val="CRCoverPage"/>
        <w:jc w:val="both"/>
        <w:rPr>
          <w:rFonts w:cs="Arial"/>
          <w:b/>
          <w:bCs/>
          <w:sz w:val="24"/>
          <w:szCs w:val="24"/>
          <w:lang w:val="en-US" w:eastAsia="ja-JP"/>
        </w:rPr>
      </w:pPr>
      <w:r w:rsidRPr="00BD2F13">
        <w:rPr>
          <w:rFonts w:cs="Arial"/>
          <w:b/>
          <w:bCs/>
          <w:sz w:val="24"/>
          <w:szCs w:val="24"/>
        </w:rPr>
        <w:t>Agenda item:</w:t>
      </w:r>
      <w:r w:rsidR="4C5CF7C0" w:rsidRPr="00BD2F13">
        <w:rPr>
          <w:rFonts w:cs="Arial"/>
          <w:b/>
          <w:bCs/>
          <w:sz w:val="24"/>
          <w:szCs w:val="24"/>
        </w:rPr>
        <w:t xml:space="preserve">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2.10.1</w:t>
      </w:r>
      <w:r w:rsidR="00F25CDC">
        <w:rPr>
          <w:rFonts w:cs="Arial"/>
          <w:b/>
          <w:bCs/>
          <w:sz w:val="24"/>
          <w:szCs w:val="24"/>
        </w:rPr>
        <w:t>.2</w:t>
      </w:r>
      <w:r w:rsidR="004F0E18">
        <w:rPr>
          <w:rFonts w:cs="Arial"/>
          <w:b/>
          <w:bCs/>
          <w:sz w:val="24"/>
          <w:szCs w:val="24"/>
        </w:rPr>
        <w:t xml:space="preserve"> </w:t>
      </w:r>
    </w:p>
    <w:p w14:paraId="30E02942" w14:textId="54A0D309" w:rsidR="00E128F2" w:rsidRPr="001E5981" w:rsidRDefault="0034111C" w:rsidP="008028D8">
      <w:pPr>
        <w:tabs>
          <w:tab w:val="left" w:pos="1985"/>
        </w:tabs>
        <w:spacing w:after="120"/>
        <w:ind w:left="1985" w:hanging="1985"/>
        <w:jc w:val="both"/>
        <w:rPr>
          <w:rFonts w:ascii="Arial" w:hAnsi="Arial" w:cs="Arial"/>
          <w:b/>
          <w:bCs/>
          <w:sz w:val="24"/>
          <w:szCs w:val="24"/>
          <w:lang w:val="en-US"/>
        </w:rPr>
      </w:pPr>
      <w:r w:rsidRPr="3E61DC49">
        <w:rPr>
          <w:rFonts w:ascii="Arial" w:hAnsi="Arial" w:cs="Arial"/>
          <w:b/>
          <w:bCs/>
          <w:sz w:val="24"/>
          <w:szCs w:val="24"/>
        </w:rPr>
        <w:t>Source:</w:t>
      </w:r>
      <w:r w:rsidR="4C5CF7C0"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B4B83EE" w:rsidR="0034111C" w:rsidRPr="0016316A" w:rsidRDefault="0034111C" w:rsidP="008028D8">
      <w:pPr>
        <w:ind w:left="1985" w:hanging="1985"/>
        <w:jc w:val="both"/>
        <w:rPr>
          <w:rFonts w:ascii="Arial" w:hAnsi="Arial" w:cs="Arial"/>
          <w:b/>
          <w:bCs/>
          <w:sz w:val="24"/>
          <w:szCs w:val="24"/>
        </w:rPr>
      </w:pPr>
      <w:r w:rsidRPr="3E61DC49">
        <w:rPr>
          <w:rFonts w:ascii="Arial" w:hAnsi="Arial" w:cs="Arial"/>
          <w:b/>
          <w:bCs/>
          <w:sz w:val="24"/>
          <w:szCs w:val="24"/>
        </w:rPr>
        <w:t>Title:</w:t>
      </w:r>
      <w:r w:rsidR="4C5CF7C0" w:rsidRPr="3E61DC49">
        <w:rPr>
          <w:rFonts w:ascii="Arial" w:hAnsi="Arial" w:cs="Arial"/>
          <w:b/>
          <w:bCs/>
          <w:sz w:val="24"/>
          <w:szCs w:val="24"/>
        </w:rPr>
        <w:t xml:space="preserve"> </w:t>
      </w:r>
      <w:r w:rsidRPr="0016316A">
        <w:rPr>
          <w:rFonts w:ascii="Arial" w:hAnsi="Arial" w:cs="Arial"/>
          <w:b/>
          <w:bCs/>
          <w:sz w:val="24"/>
        </w:rPr>
        <w:tab/>
      </w:r>
      <w:r w:rsidR="00C278AF" w:rsidRPr="004C25F9">
        <w:rPr>
          <w:rFonts w:ascii="Arial" w:hAnsi="Arial" w:cs="Arial"/>
          <w:b/>
          <w:bCs/>
          <w:sz w:val="24"/>
          <w:szCs w:val="24"/>
        </w:rPr>
        <w:t>Pote</w:t>
      </w:r>
      <w:r w:rsidR="00BB11D3" w:rsidRPr="004C25F9">
        <w:rPr>
          <w:rFonts w:ascii="Arial" w:hAnsi="Arial" w:cs="Arial"/>
          <w:b/>
          <w:bCs/>
          <w:sz w:val="24"/>
          <w:szCs w:val="24"/>
        </w:rPr>
        <w:t>ntial Positioning Techniques - U</w:t>
      </w:r>
      <w:r w:rsidR="00C278AF" w:rsidRPr="004C25F9">
        <w:rPr>
          <w:rFonts w:ascii="Arial" w:hAnsi="Arial" w:cs="Arial"/>
          <w:b/>
          <w:bCs/>
          <w:sz w:val="24"/>
          <w:szCs w:val="24"/>
        </w:rPr>
        <w:t xml:space="preserve">L based solutions </w:t>
      </w:r>
    </w:p>
    <w:p w14:paraId="30E02944" w14:textId="3F054152" w:rsidR="0034111C" w:rsidRPr="0016316A" w:rsidRDefault="0034111C" w:rsidP="008028D8">
      <w:pPr>
        <w:jc w:val="both"/>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4C5CF7C0"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8028D8">
      <w:pPr>
        <w:pStyle w:val="Heading1"/>
        <w:jc w:val="both"/>
      </w:pPr>
      <w:r w:rsidRPr="0016316A">
        <w:t>Introduction</w:t>
      </w:r>
    </w:p>
    <w:p w14:paraId="0D611B28" w14:textId="6337500D" w:rsidR="0022563F" w:rsidRDefault="471A8AD5" w:rsidP="0022563F">
      <w:pPr>
        <w:jc w:val="both"/>
      </w:pPr>
      <w:bookmarkStart w:id="1" w:name="_Hlk510705081"/>
      <w:r>
        <w:t xml:space="preserve">Work on the current study item on positioning support in NR [1] continued at RAN1#1901 and agreed UL positioning methods and measurements. In Rel-15 NR UL positioning discussion, the legacy UL-based methods such as UTDoA can be supportive, also further enhanced UL-based techniques are under discussion. </w:t>
      </w:r>
    </w:p>
    <w:p w14:paraId="615B73AB" w14:textId="66F18CA2" w:rsidR="0022563F" w:rsidRDefault="471A8AD5" w:rsidP="0022563F">
      <w:pPr>
        <w:jc w:val="both"/>
      </w:pPr>
      <w:r>
        <w:t xml:space="preserve">In the last meeting, overall discuss scopes are given as agreement below. The UL reference signal design is the basic and core discussion for UL positioning supports, accordingly, measurement discussion from the reference signal design will be followed. Also, companies have shared views to support FR2 UL positioning, so further discussion topic has been captured regarding the reference signal and beam-based transmission scheme for FR2. </w:t>
      </w:r>
    </w:p>
    <w:p w14:paraId="0C71526C" w14:textId="4E7F0198" w:rsidR="0022563F" w:rsidRDefault="471A8AD5" w:rsidP="0022563F">
      <w:pPr>
        <w:jc w:val="both"/>
      </w:pPr>
      <w:r>
        <w:t xml:space="preserve">The focus of the work has been on RAT-dependent solutions. UL solutions were agreed to be candidates for RAT-dependent positioning solutions with measurement candidates below. This contribution continues discussion on the UL based solutions. </w:t>
      </w:r>
      <w:r w:rsidR="000A4688">
        <w:t>Se</w:t>
      </w:r>
      <w:r w:rsidR="000A4688">
        <w:t>e our companion contributions [8] and [9</w:t>
      </w:r>
      <w:r w:rsidR="000A4688">
        <w:t xml:space="preserve">] for Nokia’s view </w:t>
      </w:r>
      <w:r w:rsidR="000A4688">
        <w:t>on the D</w:t>
      </w:r>
      <w:r w:rsidR="000A4688">
        <w:t>L and DL+UL based solutions respectively.</w:t>
      </w:r>
      <w:r w:rsidR="000A4688">
        <w:t xml:space="preserve"> </w:t>
      </w:r>
      <w:r>
        <w:t>At RAN1 Adhoc-1901 the following agreements were made regarding UL solutions on NR positioning studies take from [3]:</w:t>
      </w:r>
    </w:p>
    <w:tbl>
      <w:tblPr>
        <w:tblStyle w:val="TableGrid"/>
        <w:tblW w:w="0" w:type="auto"/>
        <w:tblLook w:val="04A0" w:firstRow="1" w:lastRow="0" w:firstColumn="1" w:lastColumn="0" w:noHBand="0" w:noVBand="1"/>
      </w:tblPr>
      <w:tblGrid>
        <w:gridCol w:w="9629"/>
      </w:tblGrid>
      <w:tr w:rsidR="0022563F" w14:paraId="2E1C1560" w14:textId="77777777" w:rsidTr="005C35A1">
        <w:tc>
          <w:tcPr>
            <w:tcW w:w="9629" w:type="dxa"/>
          </w:tcPr>
          <w:p w14:paraId="7273B0E7" w14:textId="77777777" w:rsidR="0022563F" w:rsidRPr="00F55A9C" w:rsidRDefault="0022563F" w:rsidP="005C35A1">
            <w:pPr>
              <w:rPr>
                <w:i/>
                <w:lang w:val="en-US" w:eastAsia="x-none"/>
              </w:rPr>
            </w:pPr>
            <w:r w:rsidRPr="00F55A9C">
              <w:rPr>
                <w:i/>
                <w:highlight w:val="green"/>
                <w:lang w:val="en-US" w:eastAsia="x-none"/>
              </w:rPr>
              <w:t>Agreement:</w:t>
            </w:r>
            <w:r w:rsidRPr="00F55A9C">
              <w:rPr>
                <w:i/>
                <w:lang w:val="en-US" w:eastAsia="x-none"/>
              </w:rPr>
              <w:t> </w:t>
            </w:r>
          </w:p>
          <w:p w14:paraId="5B568C8C" w14:textId="77777777" w:rsidR="0022563F" w:rsidRPr="00F55A9C" w:rsidRDefault="0022563F" w:rsidP="005C35A1">
            <w:pPr>
              <w:rPr>
                <w:i/>
                <w:lang w:val="en-US" w:eastAsia="x-none"/>
              </w:rPr>
            </w:pPr>
            <w:r w:rsidRPr="00F55A9C">
              <w:rPr>
                <w:i/>
                <w:lang w:val="en-US" w:eastAsia="x-none"/>
              </w:rPr>
              <w:t>NR should support timing (UL-TDOA) based UL-only positioning techniques in FR1 and FR2 </w:t>
            </w:r>
          </w:p>
          <w:p w14:paraId="225AAFCD" w14:textId="77777777" w:rsidR="0022563F" w:rsidRPr="00F55A9C" w:rsidRDefault="0022563F" w:rsidP="005C35A1">
            <w:pPr>
              <w:numPr>
                <w:ilvl w:val="1"/>
                <w:numId w:val="34"/>
              </w:numPr>
              <w:overflowPunct/>
              <w:autoSpaceDE/>
              <w:autoSpaceDN/>
              <w:adjustRightInd/>
              <w:spacing w:after="0"/>
              <w:textAlignment w:val="auto"/>
              <w:rPr>
                <w:bCs/>
                <w:i/>
                <w:lang w:val="en-US" w:eastAsia="x-none"/>
              </w:rPr>
            </w:pPr>
            <w:r w:rsidRPr="00F55A9C">
              <w:rPr>
                <w:bCs/>
                <w:i/>
                <w:lang w:val="en-US" w:eastAsia="x-none"/>
              </w:rPr>
              <w:t>UL-TDOA with two or more neighboring gNBs/TRPs for NR UL positioning should be supported </w:t>
            </w:r>
          </w:p>
          <w:p w14:paraId="0C171641" w14:textId="77777777" w:rsidR="0022563F" w:rsidRDefault="0022563F" w:rsidP="005C35A1">
            <w:pPr>
              <w:rPr>
                <w:i/>
                <w:lang w:val="en-US" w:eastAsia="x-none"/>
              </w:rPr>
            </w:pPr>
          </w:p>
          <w:p w14:paraId="6CBD79BA" w14:textId="77777777" w:rsidR="0022563F" w:rsidRPr="00F55A9C" w:rsidRDefault="0022563F" w:rsidP="005C35A1">
            <w:pPr>
              <w:rPr>
                <w:i/>
                <w:lang w:val="en-US" w:eastAsia="x-none"/>
              </w:rPr>
            </w:pPr>
            <w:r w:rsidRPr="00F55A9C">
              <w:rPr>
                <w:i/>
                <w:lang w:val="en-US" w:eastAsia="x-none"/>
              </w:rPr>
              <w:t>NR should support UL-AoA based positioning techniques in FR1 and FR2 </w:t>
            </w:r>
          </w:p>
          <w:p w14:paraId="3BF3C4AA" w14:textId="77777777" w:rsidR="0022563F" w:rsidRPr="00F55A9C" w:rsidRDefault="0022563F" w:rsidP="005C35A1">
            <w:pPr>
              <w:numPr>
                <w:ilvl w:val="1"/>
                <w:numId w:val="34"/>
              </w:numPr>
              <w:overflowPunct/>
              <w:autoSpaceDE/>
              <w:autoSpaceDN/>
              <w:adjustRightInd/>
              <w:spacing w:after="0"/>
              <w:textAlignment w:val="auto"/>
              <w:rPr>
                <w:bCs/>
                <w:i/>
                <w:lang w:val="en-US" w:eastAsia="x-none"/>
              </w:rPr>
            </w:pPr>
            <w:r w:rsidRPr="00F55A9C">
              <w:rPr>
                <w:bCs/>
                <w:i/>
                <w:lang w:val="en-US" w:eastAsia="x-none"/>
              </w:rPr>
              <w:t>UL-AoA with one or more neighboring gNBs/TRPs for NR UL positioning should be supported</w:t>
            </w:r>
          </w:p>
          <w:p w14:paraId="11CC7D69" w14:textId="77777777" w:rsidR="0022563F" w:rsidRDefault="0022563F" w:rsidP="005C35A1">
            <w:pPr>
              <w:rPr>
                <w:lang w:val="en-US" w:eastAsia="x-none"/>
              </w:rPr>
            </w:pPr>
          </w:p>
          <w:p w14:paraId="6CF3DBD7" w14:textId="77777777" w:rsidR="0022563F" w:rsidRPr="00802CC8" w:rsidRDefault="0022563F" w:rsidP="005C35A1">
            <w:pPr>
              <w:rPr>
                <w:i/>
                <w:lang w:val="en-US" w:eastAsia="x-none"/>
              </w:rPr>
            </w:pPr>
            <w:r w:rsidRPr="00802CC8">
              <w:rPr>
                <w:i/>
                <w:lang w:val="en-US" w:eastAsia="x-none"/>
              </w:rPr>
              <w:t>NR UL SRS is used as a starting point for design and analysis of UL PRS</w:t>
            </w:r>
          </w:p>
          <w:p w14:paraId="6245B7DF"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Further study if and which enhancements are needed</w:t>
            </w:r>
          </w:p>
          <w:p w14:paraId="27ABCE17"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FFS: NR UL PRS relationship with UL BWP and component carrier</w:t>
            </w:r>
          </w:p>
          <w:p w14:paraId="050E074D" w14:textId="77777777" w:rsidR="0022563F" w:rsidRDefault="0022563F" w:rsidP="005C35A1">
            <w:pPr>
              <w:rPr>
                <w:rFonts w:cs="Times"/>
                <w:i/>
                <w:lang w:val="en-US" w:eastAsia="x-none"/>
              </w:rPr>
            </w:pPr>
          </w:p>
          <w:p w14:paraId="063AB845" w14:textId="77777777" w:rsidR="0022563F" w:rsidRPr="00F55A9C" w:rsidRDefault="0022563F" w:rsidP="005C35A1">
            <w:pPr>
              <w:rPr>
                <w:i/>
                <w:lang w:val="en-US" w:eastAsia="x-none"/>
              </w:rPr>
            </w:pPr>
            <w:r w:rsidRPr="00F55A9C">
              <w:rPr>
                <w:i/>
                <w:highlight w:val="green"/>
                <w:lang w:val="en-US" w:eastAsia="x-none"/>
              </w:rPr>
              <w:t>Agreement:</w:t>
            </w:r>
            <w:r w:rsidRPr="00F55A9C">
              <w:rPr>
                <w:i/>
                <w:lang w:val="en-US" w:eastAsia="x-none"/>
              </w:rPr>
              <w:t> </w:t>
            </w:r>
          </w:p>
          <w:p w14:paraId="15BBD163" w14:textId="77777777" w:rsidR="0022563F" w:rsidRPr="00802CC8" w:rsidRDefault="0022563F" w:rsidP="005C35A1">
            <w:pPr>
              <w:rPr>
                <w:rFonts w:cs="Times"/>
                <w:i/>
                <w:lang w:val="en-US" w:eastAsia="x-none"/>
              </w:rPr>
            </w:pPr>
            <w:r w:rsidRPr="00802CC8">
              <w:rPr>
                <w:rFonts w:cs="Times"/>
                <w:i/>
                <w:lang w:val="en-US" w:eastAsia="x-none"/>
              </w:rPr>
              <w:t>The following measurements for NR UL PRS at serving and neighbor gNBs should be supported:</w:t>
            </w:r>
          </w:p>
          <w:p w14:paraId="615C7DC8"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UL RTOA measurements</w:t>
            </w:r>
          </w:p>
          <w:p w14:paraId="3452520D"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UL Angle Of Arrival (AOA) measurements (including Azimuth and Zenith Angles)</w:t>
            </w:r>
          </w:p>
          <w:p w14:paraId="552281E1"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UL RSRP (reference signal received power) measurements</w:t>
            </w:r>
          </w:p>
          <w:p w14:paraId="27DD87AE"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gNB RX-TX time difference measurements</w:t>
            </w:r>
          </w:p>
          <w:p w14:paraId="78AAEA1C" w14:textId="77777777" w:rsidR="0022563F" w:rsidRDefault="0022563F" w:rsidP="005C35A1">
            <w:pPr>
              <w:jc w:val="both"/>
              <w:rPr>
                <w:lang w:val="en-US"/>
              </w:rPr>
            </w:pPr>
          </w:p>
          <w:p w14:paraId="4FE43473" w14:textId="77777777" w:rsidR="0022563F" w:rsidRPr="00802CC8" w:rsidRDefault="0022563F" w:rsidP="005C35A1">
            <w:pPr>
              <w:rPr>
                <w:i/>
                <w:lang w:val="en-US" w:eastAsia="x-none"/>
              </w:rPr>
            </w:pPr>
            <w:r w:rsidRPr="00802CC8">
              <w:rPr>
                <w:i/>
                <w:lang w:val="en-US" w:eastAsia="x-none"/>
              </w:rPr>
              <w:t xml:space="preserve">FFS: At least the following aspects for NR UL PRS design </w:t>
            </w:r>
          </w:p>
          <w:p w14:paraId="00BCF86C"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 xml:space="preserve">Use of UL beam sweeping at FR2 </w:t>
            </w:r>
          </w:p>
          <w:p w14:paraId="6C92F623" w14:textId="77777777" w:rsidR="0022563F" w:rsidRPr="00802CC8" w:rsidRDefault="0022563F" w:rsidP="005C35A1">
            <w:pPr>
              <w:numPr>
                <w:ilvl w:val="2"/>
                <w:numId w:val="34"/>
              </w:numPr>
              <w:overflowPunct/>
              <w:autoSpaceDE/>
              <w:autoSpaceDN/>
              <w:adjustRightInd/>
              <w:spacing w:after="0"/>
              <w:textAlignment w:val="auto"/>
              <w:rPr>
                <w:bCs/>
                <w:i/>
                <w:lang w:val="en-US" w:eastAsia="x-none"/>
              </w:rPr>
            </w:pPr>
            <w:r w:rsidRPr="00802CC8">
              <w:rPr>
                <w:bCs/>
                <w:i/>
                <w:lang w:val="en-US" w:eastAsia="x-none"/>
              </w:rPr>
              <w:t>Beam sweeping includes possibility of quasi-omni transmission</w:t>
            </w:r>
          </w:p>
          <w:p w14:paraId="5CF991AD"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Use of UL beam alignment at FR2 through DL reception and beam correspondence</w:t>
            </w:r>
          </w:p>
          <w:p w14:paraId="6D56940E"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t>UL Power control aspects</w:t>
            </w:r>
          </w:p>
          <w:p w14:paraId="2D7AC0BE" w14:textId="77777777" w:rsidR="0022563F" w:rsidRPr="00802CC8" w:rsidRDefault="0022563F" w:rsidP="005C35A1">
            <w:pPr>
              <w:numPr>
                <w:ilvl w:val="1"/>
                <w:numId w:val="34"/>
              </w:numPr>
              <w:overflowPunct/>
              <w:autoSpaceDE/>
              <w:autoSpaceDN/>
              <w:adjustRightInd/>
              <w:spacing w:after="0"/>
              <w:textAlignment w:val="auto"/>
              <w:rPr>
                <w:bCs/>
                <w:i/>
                <w:lang w:val="en-US" w:eastAsia="x-none"/>
              </w:rPr>
            </w:pPr>
            <w:r w:rsidRPr="00802CC8">
              <w:rPr>
                <w:bCs/>
                <w:i/>
                <w:lang w:val="en-US" w:eastAsia="x-none"/>
              </w:rPr>
              <w:lastRenderedPageBreak/>
              <w:t>UL timing advance aspects</w:t>
            </w:r>
          </w:p>
          <w:p w14:paraId="594102FA" w14:textId="77777777" w:rsidR="0022563F" w:rsidRPr="00802CC8" w:rsidRDefault="0022563F" w:rsidP="005C35A1">
            <w:pPr>
              <w:overflowPunct/>
              <w:autoSpaceDE/>
              <w:autoSpaceDN/>
              <w:adjustRightInd/>
              <w:spacing w:after="0"/>
              <w:textAlignment w:val="auto"/>
              <w:rPr>
                <w:lang w:val="en-US"/>
              </w:rPr>
            </w:pPr>
          </w:p>
        </w:tc>
      </w:tr>
    </w:tbl>
    <w:p w14:paraId="1823D6EF" w14:textId="4FB40207" w:rsidR="0022563F" w:rsidRDefault="0022563F" w:rsidP="0022563F">
      <w:pPr>
        <w:jc w:val="both"/>
      </w:pPr>
    </w:p>
    <w:p w14:paraId="42FB4F70" w14:textId="61B614DA" w:rsidR="0022563F" w:rsidRPr="00A00A2D" w:rsidRDefault="0022563F" w:rsidP="0022563F">
      <w:pPr>
        <w:pStyle w:val="Heading1"/>
        <w:jc w:val="both"/>
      </w:pPr>
      <w:r>
        <w:t>Discussion</w:t>
      </w:r>
    </w:p>
    <w:bookmarkEnd w:id="1"/>
    <w:p w14:paraId="3E234F15" w14:textId="77777777" w:rsidR="0022563F" w:rsidRDefault="0022563F" w:rsidP="0022563F">
      <w:pPr>
        <w:pStyle w:val="Heading2"/>
        <w:jc w:val="both"/>
      </w:pPr>
      <w:r>
        <w:t xml:space="preserve">Reference signal design for NR UL positioning </w:t>
      </w:r>
    </w:p>
    <w:p w14:paraId="6B9DB8D6" w14:textId="6F1C2E54" w:rsidR="0022563F" w:rsidRDefault="471A8AD5" w:rsidP="471A8AD5">
      <w:pPr>
        <w:pStyle w:val="paragraph"/>
        <w:spacing w:before="0" w:beforeAutospacing="0" w:after="180" w:afterAutospacing="0"/>
        <w:jc w:val="both"/>
        <w:textAlignment w:val="baseline"/>
        <w:rPr>
          <w:rStyle w:val="eop"/>
          <w:rFonts w:ascii="Times New Roman" w:hAnsi="Times New Roman" w:cs="Times New Roman"/>
          <w:sz w:val="20"/>
          <w:szCs w:val="20"/>
        </w:rPr>
      </w:pPr>
      <w:r w:rsidRPr="471A8AD5">
        <w:rPr>
          <w:rStyle w:val="normaltextrun"/>
          <w:rFonts w:ascii="Times New Roman" w:hAnsi="Times New Roman" w:cs="Times New Roman"/>
          <w:sz w:val="20"/>
          <w:szCs w:val="20"/>
          <w:lang w:val="en-GB"/>
        </w:rPr>
        <w:t xml:space="preserve">The UTDOA, as an uplink-based positioning solution, has been standardized in 3GPP Release 11 for LTE positioning. In the last meeting, NR SRS has been agreed to be a baseline reference signal for UL positioning. It is reasonable to consider SRS as baseline because it is used for LTE-A UL positioning reference signal, so the same conceptual operation can be defined in NR UL positioning as well. While NR SRS has similarity as LTE SRS, but there exist additional features in NR SRS discussion. Further discussions is required to review on NR SRS for UL positioning purpose. </w:t>
      </w:r>
    </w:p>
    <w:p w14:paraId="1CC8CC46" w14:textId="3775E734" w:rsidR="0022563F" w:rsidRPr="00D46B7E" w:rsidRDefault="471A8AD5" w:rsidP="471A8AD5">
      <w:pPr>
        <w:pStyle w:val="paragraph"/>
        <w:spacing w:before="0" w:beforeAutospacing="0" w:after="180" w:afterAutospacing="0"/>
        <w:jc w:val="both"/>
        <w:textAlignment w:val="baseline"/>
        <w:rPr>
          <w:rStyle w:val="eop"/>
          <w:rFonts w:ascii="Times New Roman" w:hAnsi="Times New Roman" w:cs="Times New Roman"/>
          <w:sz w:val="20"/>
          <w:szCs w:val="20"/>
        </w:rPr>
      </w:pPr>
      <w:r w:rsidRPr="471A8AD5">
        <w:rPr>
          <w:rStyle w:val="eop"/>
          <w:rFonts w:ascii="Times New Roman" w:hAnsi="Times New Roman" w:cs="Times New Roman"/>
          <w:sz w:val="20"/>
          <w:szCs w:val="20"/>
        </w:rPr>
        <w:t xml:space="preserve">First, Rel-15 NR SRS has been defined for sounding, that is the original usage of SRS, also for UL beam management purpose that is mainly used for FR2. Rel-15 SRS highlight configurations are summarized as below </w:t>
      </w:r>
    </w:p>
    <w:p w14:paraId="5E516DDF" w14:textId="74A246E8" w:rsidR="0022563F" w:rsidRPr="00D46B7E" w:rsidRDefault="471A8AD5" w:rsidP="471A8AD5">
      <w:pPr>
        <w:pStyle w:val="paragraph"/>
        <w:spacing w:before="0" w:beforeAutospacing="0" w:after="180" w:afterAutospacing="0"/>
        <w:ind w:left="851"/>
        <w:jc w:val="both"/>
        <w:textAlignment w:val="baseline"/>
        <w:rPr>
          <w:rFonts w:ascii="Times New Roman" w:hAnsi="Times New Roman" w:cs="Times New Roman"/>
          <w:i/>
          <w:iCs/>
          <w:sz w:val="20"/>
          <w:szCs w:val="20"/>
        </w:rPr>
      </w:pPr>
      <w:r w:rsidRPr="471A8AD5">
        <w:rPr>
          <w:rFonts w:ascii="Times New Roman" w:hAnsi="Times New Roman" w:cs="Times New Roman"/>
          <w:b/>
          <w:bCs/>
          <w:i/>
          <w:iCs/>
          <w:sz w:val="20"/>
          <w:szCs w:val="20"/>
        </w:rPr>
        <w:t>Rel-15 NR SRS sequence:</w:t>
      </w:r>
      <w:r w:rsidRPr="471A8AD5">
        <w:rPr>
          <w:rFonts w:ascii="Times New Roman" w:hAnsi="Times New Roman" w:cs="Times New Roman"/>
          <w:i/>
          <w:iCs/>
          <w:sz w:val="20"/>
          <w:szCs w:val="20"/>
        </w:rPr>
        <w:t xml:space="preserve"> LTE-A sequence is reused (gold sequence)</w:t>
      </w:r>
    </w:p>
    <w:p w14:paraId="74F0F90C" w14:textId="77777777" w:rsidR="0022563F" w:rsidRPr="00D46B7E" w:rsidRDefault="0022563F" w:rsidP="0022563F">
      <w:pPr>
        <w:pStyle w:val="paragraph"/>
        <w:spacing w:before="0" w:beforeAutospacing="0" w:after="180" w:afterAutospacing="0"/>
        <w:ind w:left="851"/>
        <w:jc w:val="both"/>
        <w:textAlignment w:val="baseline"/>
        <w:rPr>
          <w:rFonts w:ascii="Times New Roman" w:hAnsi="Times New Roman" w:cs="Times New Roman"/>
          <w:b/>
          <w:i/>
          <w:sz w:val="20"/>
          <w:szCs w:val="20"/>
        </w:rPr>
      </w:pPr>
      <w:r w:rsidRPr="00D46B7E">
        <w:rPr>
          <w:rFonts w:ascii="Times New Roman" w:hAnsi="Times New Roman" w:cs="Times New Roman"/>
          <w:b/>
          <w:i/>
          <w:sz w:val="20"/>
          <w:szCs w:val="20"/>
        </w:rPr>
        <w:t>Rel-15 SRS resource allocation</w:t>
      </w:r>
    </w:p>
    <w:p w14:paraId="5B8F36EC"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 xml:space="preserve">Comb-2 and comb-4 are supportive. </w:t>
      </w:r>
    </w:p>
    <w:p w14:paraId="203AD56D"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SRS starting symbols are given as {9,10,11,12,13,14}th symbol</w:t>
      </w:r>
    </w:p>
    <w:p w14:paraId="0C1A7A56"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Number of SRS symbols N={1,2,4}</w:t>
      </w:r>
    </w:p>
    <w:p w14:paraId="6ED3F082" w14:textId="46D76A29" w:rsidR="0022563F" w:rsidRDefault="471A8AD5" w:rsidP="471A8AD5">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iCs/>
          <w:sz w:val="20"/>
          <w:szCs w:val="20"/>
        </w:rPr>
      </w:pPr>
      <w:r w:rsidRPr="471A8AD5">
        <w:rPr>
          <w:rFonts w:ascii="Times New Roman" w:hAnsi="Times New Roman" w:cs="Times New Roman"/>
          <w:i/>
          <w:iCs/>
          <w:sz w:val="20"/>
          <w:szCs w:val="20"/>
        </w:rPr>
        <w:t>SRS repetition factor = {1,2,4} within N symbols</w:t>
      </w:r>
    </w:p>
    <w:p w14:paraId="53BE9F11" w14:textId="2FF7D25B" w:rsidR="0022563F" w:rsidRPr="00D46B7E" w:rsidRDefault="471A8AD5" w:rsidP="471A8AD5">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iCs/>
          <w:sz w:val="20"/>
          <w:szCs w:val="20"/>
        </w:rPr>
      </w:pPr>
      <w:r w:rsidRPr="471A8AD5">
        <w:rPr>
          <w:rFonts w:ascii="Times New Roman" w:hAnsi="Times New Roman" w:cs="Times New Roman"/>
          <w:i/>
          <w:iCs/>
          <w:sz w:val="20"/>
          <w:szCs w:val="20"/>
        </w:rPr>
        <w:t xml:space="preserve">Periodicity : 1,2,4,5,8,10,16,20,32,40,64,80,160,320,640,1280,2560 slots </w:t>
      </w:r>
    </w:p>
    <w:p w14:paraId="52E9221F"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Frequency hopping (inter slot, intra slot)</w:t>
      </w:r>
    </w:p>
    <w:p w14:paraId="54CEDC06" w14:textId="77777777" w:rsidR="0022563F" w:rsidRPr="00D46B7E" w:rsidRDefault="0022563F" w:rsidP="0022563F">
      <w:pPr>
        <w:pStyle w:val="paragraph"/>
        <w:spacing w:before="0" w:beforeAutospacing="0" w:after="180" w:afterAutospacing="0"/>
        <w:ind w:left="570"/>
        <w:jc w:val="both"/>
        <w:textAlignment w:val="baseline"/>
        <w:rPr>
          <w:rFonts w:ascii="Times New Roman" w:hAnsi="Times New Roman" w:cs="Times New Roman"/>
          <w:b/>
          <w:i/>
          <w:sz w:val="20"/>
          <w:szCs w:val="20"/>
        </w:rPr>
      </w:pPr>
      <w:r w:rsidRPr="00D46B7E">
        <w:rPr>
          <w:rFonts w:ascii="Times New Roman" w:hAnsi="Times New Roman" w:cs="Times New Roman"/>
          <w:b/>
          <w:i/>
          <w:sz w:val="20"/>
          <w:szCs w:val="20"/>
        </w:rPr>
        <w:t xml:space="preserve"> Rel-15 SRS resource set configurations :</w:t>
      </w:r>
    </w:p>
    <w:p w14:paraId="1EDBA713"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Single / multiple SRS resource sets can be configurable.</w:t>
      </w:r>
    </w:p>
    <w:p w14:paraId="6BA55605"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A resource set is configured for codebook-based / non-code-book based UL transmission</w:t>
      </w:r>
    </w:p>
    <w:p w14:paraId="40E20104" w14:textId="77777777" w:rsidR="0022563F" w:rsidRPr="00D46B7E" w:rsidRDefault="0022563F" w:rsidP="0022563F">
      <w:pPr>
        <w:pStyle w:val="paragraph"/>
        <w:numPr>
          <w:ilvl w:val="0"/>
          <w:numId w:val="36"/>
        </w:numPr>
        <w:spacing w:before="0" w:beforeAutospacing="0" w:after="180" w:afterAutospacing="0"/>
        <w:ind w:left="851" w:firstLine="425"/>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SRS TX antenna switching</w:t>
      </w:r>
    </w:p>
    <w:p w14:paraId="394DD264" w14:textId="77777777" w:rsidR="0022563F" w:rsidRPr="00D46B7E" w:rsidRDefault="0022563F" w:rsidP="0022563F">
      <w:pPr>
        <w:pStyle w:val="paragraph"/>
        <w:spacing w:before="0" w:beforeAutospacing="0" w:after="180" w:afterAutospacing="0"/>
        <w:ind w:left="1276"/>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 xml:space="preserve"> Max number of SRS resource set =16 </w:t>
      </w:r>
    </w:p>
    <w:p w14:paraId="798D1B4B" w14:textId="77777777" w:rsidR="0022563F" w:rsidRPr="00D46B7E" w:rsidRDefault="0022563F" w:rsidP="0022563F">
      <w:pPr>
        <w:pStyle w:val="paragraph"/>
        <w:spacing w:before="0" w:beforeAutospacing="0" w:after="180" w:afterAutospacing="0"/>
        <w:ind w:left="1276"/>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 xml:space="preserve"> Max number of SRS resource configuration per a set=16 </w:t>
      </w:r>
    </w:p>
    <w:p w14:paraId="355D0BB3" w14:textId="77777777" w:rsidR="0022563F" w:rsidRPr="00D46B7E" w:rsidRDefault="0022563F" w:rsidP="0022563F">
      <w:pPr>
        <w:pStyle w:val="paragraph"/>
        <w:spacing w:before="0" w:beforeAutospacing="0" w:after="180" w:afterAutospacing="0"/>
        <w:ind w:left="1276"/>
        <w:jc w:val="both"/>
        <w:textAlignment w:val="baseline"/>
        <w:rPr>
          <w:rFonts w:ascii="Times New Roman" w:hAnsi="Times New Roman" w:cs="Times New Roman"/>
          <w:i/>
          <w:sz w:val="20"/>
          <w:szCs w:val="20"/>
        </w:rPr>
      </w:pPr>
      <w:r w:rsidRPr="00D46B7E">
        <w:rPr>
          <w:rFonts w:ascii="Times New Roman" w:hAnsi="Times New Roman" w:cs="Times New Roman"/>
          <w:i/>
          <w:sz w:val="20"/>
          <w:szCs w:val="20"/>
        </w:rPr>
        <w:t xml:space="preserve"> Max number of SRS resource configurations = 64 </w:t>
      </w:r>
    </w:p>
    <w:p w14:paraId="2823F722" w14:textId="2A94CA72" w:rsidR="0022563F" w:rsidRDefault="471A8AD5" w:rsidP="0022563F">
      <w:pPr>
        <w:pStyle w:val="paragraph"/>
        <w:spacing w:before="0" w:beforeAutospacing="0" w:after="180" w:afterAutospacing="0"/>
        <w:jc w:val="both"/>
        <w:textAlignment w:val="baseline"/>
        <w:rPr>
          <w:rFonts w:ascii="Times New Roman" w:hAnsi="Times New Roman" w:cs="Times New Roman"/>
          <w:sz w:val="20"/>
          <w:szCs w:val="20"/>
        </w:rPr>
      </w:pPr>
      <w:r w:rsidRPr="471A8AD5">
        <w:rPr>
          <w:rFonts w:ascii="Times New Roman" w:hAnsi="Times New Roman" w:cs="Times New Roman"/>
          <w:sz w:val="20"/>
          <w:szCs w:val="20"/>
        </w:rPr>
        <w:t>Since RAN1 selected SRS is the baseline reference signal for UL positioning in the last meeting, the addressed SRS configurations need to be discussed further to check if UL positioning can be properly operated with good performance. Some configurations of Rel-15 SRS allocation may be revisited through the positioning discussion. We shortly summarize possible changes of Rel-15 SRS configuration for positioning above. We observe Rel-15 SRS has been defined with flexibilities, Rel-15 SRS mainly has been designed for sounding, CSI and beam management, but the positioning purpose has not been included in the design scope. In LTE, UL positioning is a extra benefit from SRS transmission scheduling, while it performs sounding operation in the network. However, in the NR, there may be needs to configure multiple SRS resource configurations separately for UL positioning due to configuration difference such as precoding, beamforming and resource allocation. We discuss details as below.</w:t>
      </w:r>
    </w:p>
    <w:p w14:paraId="06CC99B7" w14:textId="77777777" w:rsidR="0022563F" w:rsidRPr="00A324FF" w:rsidRDefault="0022563F" w:rsidP="0022563F">
      <w:pPr>
        <w:pStyle w:val="paragraph"/>
        <w:spacing w:before="0" w:beforeAutospacing="0" w:after="180" w:afterAutospacing="0"/>
        <w:jc w:val="both"/>
        <w:textAlignment w:val="baseline"/>
        <w:rPr>
          <w:rFonts w:ascii="Times New Roman" w:hAnsi="Times New Roman" w:cs="Times New Roman"/>
          <w:b/>
          <w:i/>
          <w:sz w:val="20"/>
          <w:szCs w:val="20"/>
          <w:u w:val="single"/>
        </w:rPr>
      </w:pPr>
      <w:r w:rsidRPr="00A324FF">
        <w:rPr>
          <w:rFonts w:ascii="Times New Roman" w:hAnsi="Times New Roman" w:cs="Times New Roman"/>
          <w:b/>
          <w:i/>
          <w:sz w:val="20"/>
          <w:szCs w:val="20"/>
          <w:u w:val="single"/>
        </w:rPr>
        <w:t xml:space="preserve">Comb-N structure with staggering REs </w:t>
      </w:r>
    </w:p>
    <w:p w14:paraId="7231A418" w14:textId="00E393F4" w:rsidR="0022563F" w:rsidRDefault="471A8AD5" w:rsidP="471A8AD5">
      <w:pPr>
        <w:pStyle w:val="paragraph"/>
        <w:spacing w:before="0" w:beforeAutospacing="0" w:after="180" w:afterAutospacing="0"/>
        <w:jc w:val="both"/>
        <w:textAlignment w:val="baseline"/>
        <w:rPr>
          <w:rFonts w:ascii="Times New Roman" w:hAnsi="Times New Roman" w:cs="Times New Roman"/>
          <w:sz w:val="20"/>
          <w:szCs w:val="20"/>
          <w:lang w:val="en-GB"/>
        </w:rPr>
      </w:pPr>
      <w:r w:rsidRPr="471A8AD5">
        <w:rPr>
          <w:rFonts w:ascii="Times New Roman" w:hAnsi="Times New Roman" w:cs="Times New Roman"/>
          <w:sz w:val="20"/>
          <w:szCs w:val="20"/>
        </w:rPr>
        <w:t>Firstly, RAN1 needs to discuss the resource allocation of UL PRS based on UL SRS allocation structure. In RAN1#AH-1901, basic UL-PRS discussion has been done [4~6], in which comb structure and RE staggering has been discussed. As checked in Rel-15 SRS, it is feasible to allocate SRS in such ways with configuring multiple SRS resources with different slot offset, symbol offset, and comb offset for orthogonality between UEs</w:t>
      </w:r>
      <w:r w:rsidRPr="471A8AD5">
        <w:rPr>
          <w:rFonts w:ascii="Times New Roman" w:hAnsi="Times New Roman" w:cs="Times New Roman"/>
          <w:sz w:val="20"/>
          <w:szCs w:val="20"/>
          <w:lang w:val="en-GB"/>
        </w:rPr>
        <w:t xml:space="preserve">. In conclusion, comb-2 or comb-4 with </w:t>
      </w:r>
      <w:r w:rsidRPr="471A8AD5">
        <w:rPr>
          <w:rFonts w:ascii="Times New Roman" w:hAnsi="Times New Roman" w:cs="Times New Roman"/>
          <w:sz w:val="20"/>
          <w:szCs w:val="20"/>
          <w:lang w:val="en-GB"/>
        </w:rPr>
        <w:lastRenderedPageBreak/>
        <w:t>staggering allocation is already possible under Rel-15 spec. Figure 1 illustrates SRS comb structure example. As we analyse Rel-15 spec, Comb-1 SRS is not supportive. Comb-2 and Comb-4 are supportive. Also, if wanting to make the staggering structure, multiple SRS resource configuration can be configured with different RE offsets, since RE offset can be configured differently per a SRS resource configuration. For example, Comb-4 with staggering can be configured as 4 SRS resource configurations having comb-4 in a single symbol and staggering RE offset in each SRS resource configuration. Comb-4 with 2-tone-offset staggering is also possible in this way.</w:t>
      </w:r>
    </w:p>
    <w:p w14:paraId="757129C5" w14:textId="77777777" w:rsidR="0022563F" w:rsidRDefault="0022563F" w:rsidP="0022563F">
      <w:pPr>
        <w:pStyle w:val="paragraph"/>
        <w:spacing w:before="0" w:beforeAutospacing="0" w:after="180" w:afterAutospacing="0"/>
        <w:jc w:val="both"/>
        <w:textAlignment w:val="baseline"/>
        <w:rPr>
          <w:rFonts w:ascii="Times New Roman" w:hAnsi="Times New Roman" w:cs="Times New Roman"/>
          <w:sz w:val="20"/>
          <w:szCs w:val="20"/>
          <w:lang w:val="en-GB"/>
        </w:rPr>
      </w:pPr>
      <w:r w:rsidRPr="00F11242">
        <w:rPr>
          <w:rFonts w:ascii="Times New Roman" w:hAnsi="Times New Roman" w:cs="Times New Roman"/>
          <w:b/>
          <w:sz w:val="20"/>
          <w:szCs w:val="20"/>
          <w:lang w:val="en-GB"/>
        </w:rPr>
        <w:t>Observation 1 :</w:t>
      </w:r>
      <w:r>
        <w:rPr>
          <w:rFonts w:ascii="Times New Roman" w:hAnsi="Times New Roman" w:cs="Times New Roman"/>
          <w:sz w:val="20"/>
          <w:szCs w:val="20"/>
          <w:lang w:val="en-GB"/>
        </w:rPr>
        <w:t xml:space="preserve"> SRS comb-2 or comb-4 with staggering allocation is possible under Rel-15 spec.</w:t>
      </w:r>
    </w:p>
    <w:p w14:paraId="115C70EA" w14:textId="77777777" w:rsidR="0022563F" w:rsidRDefault="0022563F" w:rsidP="0022563F">
      <w:pPr>
        <w:pStyle w:val="paragraph"/>
        <w:spacing w:before="0" w:beforeAutospacing="0" w:after="180" w:afterAutospacing="0"/>
        <w:jc w:val="both"/>
        <w:textAlignment w:val="baseline"/>
        <w:rPr>
          <w:rFonts w:ascii="Times New Roman" w:hAnsi="Times New Roman" w:cs="Times New Roman"/>
          <w:sz w:val="20"/>
          <w:szCs w:val="20"/>
          <w:lang w:val="en-GB"/>
        </w:rPr>
      </w:pPr>
    </w:p>
    <w:p w14:paraId="22648EB6" w14:textId="77777777" w:rsidR="0022563F" w:rsidRDefault="0022563F" w:rsidP="0022563F">
      <w:pPr>
        <w:pStyle w:val="paragraph"/>
        <w:spacing w:before="0" w:beforeAutospacing="0" w:after="180" w:afterAutospacing="0"/>
        <w:jc w:val="center"/>
        <w:textAlignment w:val="baseline"/>
        <w:rPr>
          <w:rFonts w:ascii="Times New Roman" w:hAnsi="Times New Roman" w:cs="Times New Roman"/>
          <w:sz w:val="20"/>
          <w:szCs w:val="20"/>
          <w:lang w:eastAsia="en-US"/>
        </w:rPr>
      </w:pPr>
      <w:r>
        <w:object w:dxaOrig="8009" w:dyaOrig="7075" w14:anchorId="47DCF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291pt" o:ole="">
            <v:imagedata r:id="rId13" o:title=""/>
          </v:shape>
          <o:OLEObject Type="Embed" ProgID="Visio.Drawing.15" ShapeID="_x0000_i1025" DrawAspect="Content" ObjectID="_1611729945" r:id="rId14"/>
        </w:object>
      </w:r>
    </w:p>
    <w:p w14:paraId="197C53F8" w14:textId="63E0C23B" w:rsidR="0022563F" w:rsidRDefault="0022563F" w:rsidP="0022563F">
      <w:pPr>
        <w:pStyle w:val="paragraph"/>
        <w:spacing w:before="0" w:beforeAutospacing="0" w:after="180" w:afterAutospacing="0"/>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Figure 1 : </w:t>
      </w:r>
      <w:r w:rsidRPr="00D833D2">
        <w:rPr>
          <w:rFonts w:ascii="Times New Roman" w:hAnsi="Times New Roman" w:cs="Times New Roman"/>
          <w:sz w:val="20"/>
          <w:szCs w:val="20"/>
          <w:lang w:val="en-GB"/>
        </w:rPr>
        <w:t>Positioning signal frequency density</w:t>
      </w:r>
      <w:r>
        <w:rPr>
          <w:rFonts w:ascii="Times New Roman" w:hAnsi="Times New Roman" w:cs="Times New Roman"/>
          <w:sz w:val="20"/>
          <w:szCs w:val="20"/>
          <w:lang w:val="en-GB"/>
        </w:rPr>
        <w:t xml:space="preserve"> : (i) </w:t>
      </w:r>
      <w:r w:rsidRPr="00B52C02">
        <w:rPr>
          <w:rFonts w:ascii="Times New Roman" w:hAnsi="Times New Roman" w:cs="Times New Roman"/>
          <w:sz w:val="20"/>
          <w:szCs w:val="20"/>
          <w:lang w:val="en-GB"/>
        </w:rPr>
        <w:t>Comb-1 contiguous tone</w:t>
      </w:r>
      <w:r>
        <w:rPr>
          <w:rFonts w:ascii="Times New Roman" w:hAnsi="Times New Roman" w:cs="Times New Roman"/>
          <w:sz w:val="20"/>
          <w:szCs w:val="20"/>
          <w:lang w:val="en-GB"/>
        </w:rPr>
        <w:t xml:space="preserve">, (ii) Comb-2 with staggering, (iii) Comb-4 with 2-tone offset staggering, and (iv) Comb 4 with staggering.  </w:t>
      </w:r>
    </w:p>
    <w:p w14:paraId="51AE08FD" w14:textId="378573B8" w:rsidR="0022563F" w:rsidRDefault="471A8AD5" w:rsidP="471A8AD5">
      <w:pPr>
        <w:pStyle w:val="paragraph"/>
        <w:spacing w:before="0" w:beforeAutospacing="0" w:after="180" w:afterAutospacing="0"/>
        <w:jc w:val="both"/>
        <w:textAlignment w:val="baseline"/>
        <w:rPr>
          <w:rStyle w:val="eop"/>
          <w:rFonts w:ascii="Times New Roman" w:hAnsi="Times New Roman" w:cs="Times New Roman"/>
          <w:sz w:val="20"/>
          <w:szCs w:val="20"/>
        </w:rPr>
      </w:pPr>
      <w:r w:rsidRPr="471A8AD5">
        <w:rPr>
          <w:rFonts w:ascii="Times New Roman" w:hAnsi="Times New Roman" w:cs="Times New Roman"/>
          <w:sz w:val="20"/>
          <w:szCs w:val="20"/>
          <w:lang w:val="en-GB"/>
        </w:rPr>
        <w:t>Further comb-</w:t>
      </w:r>
      <w:r w:rsidRPr="471A8AD5">
        <w:rPr>
          <w:rFonts w:ascii="Times New Roman" w:hAnsi="Times New Roman" w:cs="Times New Roman"/>
          <w:i/>
          <w:iCs/>
          <w:sz w:val="20"/>
          <w:szCs w:val="20"/>
          <w:lang w:val="en-GB"/>
        </w:rPr>
        <w:t>N</w:t>
      </w:r>
      <w:r w:rsidRPr="471A8AD5">
        <w:rPr>
          <w:rFonts w:ascii="Times New Roman" w:hAnsi="Times New Roman" w:cs="Times New Roman"/>
          <w:sz w:val="20"/>
          <w:szCs w:val="20"/>
          <w:lang w:val="en-GB"/>
        </w:rPr>
        <w:t xml:space="preserve"> structure needs to be further discussed with studying positioning performance. </w:t>
      </w:r>
      <w:r w:rsidRPr="471A8AD5">
        <w:rPr>
          <w:rStyle w:val="normaltextrun"/>
          <w:rFonts w:ascii="Times New Roman" w:hAnsi="Times New Roman" w:cs="Times New Roman"/>
          <w:sz w:val="20"/>
          <w:szCs w:val="20"/>
        </w:rPr>
        <w:t xml:space="preserve">The UTDOA positioning method usually occupies more network resources than the OTDOA positioning method, when many UEs request positioning service simultaneously. Each of UEs requesting positioning service requires serving cell and every LMU to reserve resource for receiving positioning reference signal (e.g., SRS). </w:t>
      </w:r>
      <w:r w:rsidRPr="471A8AD5">
        <w:rPr>
          <w:rFonts w:ascii="Times New Roman" w:hAnsi="Times New Roman" w:cs="Times New Roman"/>
          <w:sz w:val="20"/>
          <w:szCs w:val="20"/>
          <w:lang w:val="en-GB"/>
        </w:rPr>
        <w:t xml:space="preserve">First, comb-1 structure may have benefit to cover long delay spread, but there is an overhead issue. Under the Rel-15 spec, we see that SRS comb-1 is not supportive. Even if setting two of comb-2 SRS resource configurations with RE offset=0,1, the RE allocation will be contiguous like comb-1, but cyclic shift (CS) will be broken. So, comb-1 structure needs some spec change from Rel-15. When </w:t>
      </w:r>
      <w:r w:rsidRPr="471A8AD5">
        <w:rPr>
          <w:rFonts w:ascii="Times New Roman" w:hAnsi="Times New Roman" w:cs="Times New Roman"/>
          <w:i/>
          <w:iCs/>
          <w:sz w:val="20"/>
          <w:szCs w:val="20"/>
          <w:lang w:val="en-GB"/>
        </w:rPr>
        <w:t>N&gt;1</w:t>
      </w:r>
      <w:r w:rsidRPr="471A8AD5">
        <w:rPr>
          <w:rFonts w:ascii="Times New Roman" w:hAnsi="Times New Roman" w:cs="Times New Roman"/>
          <w:sz w:val="20"/>
          <w:szCs w:val="20"/>
          <w:lang w:val="en-GB"/>
        </w:rPr>
        <w:t xml:space="preserve">, ambiguity from aliasing may happen, however it is up to LMUs/gNBs deployment and channel delay. It can also reduce overhead issues in some usecases like indoor scenarios. </w:t>
      </w:r>
      <w:r w:rsidRPr="471A8AD5">
        <w:rPr>
          <w:rStyle w:val="normaltextrun"/>
          <w:rFonts w:ascii="Times New Roman" w:hAnsi="Times New Roman" w:cs="Times New Roman"/>
          <w:sz w:val="20"/>
          <w:szCs w:val="20"/>
        </w:rPr>
        <w:t>In this sense, a large ‘</w:t>
      </w:r>
      <w:r w:rsidRPr="471A8AD5">
        <w:rPr>
          <w:rStyle w:val="normaltextrun"/>
          <w:rFonts w:ascii="Times New Roman" w:hAnsi="Times New Roman" w:cs="Times New Roman"/>
          <w:i/>
          <w:iCs/>
          <w:sz w:val="20"/>
          <w:szCs w:val="20"/>
        </w:rPr>
        <w:t>N</w:t>
      </w:r>
      <w:r w:rsidRPr="471A8AD5">
        <w:rPr>
          <w:rStyle w:val="normaltextrun"/>
          <w:rFonts w:ascii="Times New Roman" w:hAnsi="Times New Roman" w:cs="Times New Roman"/>
          <w:sz w:val="20"/>
          <w:szCs w:val="20"/>
        </w:rPr>
        <w:t xml:space="preserve">’ will be proper to control overhead. Comb configurations needs to make balance between efficiency and performance with flexible structures. The comb structure gives more flexible MU scheduling and the staggering RE structure has benefits to boost TX power from </w:t>
      </w:r>
      <w:r w:rsidRPr="471A8AD5">
        <w:rPr>
          <w:rStyle w:val="eop"/>
          <w:rFonts w:ascii="Times New Roman" w:hAnsi="Times New Roman" w:cs="Times New Roman"/>
          <w:sz w:val="20"/>
          <w:szCs w:val="20"/>
        </w:rPr>
        <w:t xml:space="preserve">an UE. Especially, RAN1 discusses about SRS beam sweeping for UL positioning, it may need more flexible RE structures such as </w:t>
      </w:r>
      <w:r w:rsidRPr="471A8AD5">
        <w:rPr>
          <w:rStyle w:val="eop"/>
          <w:rFonts w:ascii="Times New Roman" w:hAnsi="Times New Roman" w:cs="Times New Roman"/>
          <w:i/>
          <w:iCs/>
          <w:sz w:val="20"/>
          <w:szCs w:val="20"/>
        </w:rPr>
        <w:t>N&gt;</w:t>
      </w:r>
      <w:r w:rsidRPr="471A8AD5">
        <w:rPr>
          <w:rStyle w:val="eop"/>
          <w:rFonts w:ascii="Times New Roman" w:hAnsi="Times New Roman" w:cs="Times New Roman"/>
          <w:sz w:val="20"/>
          <w:szCs w:val="20"/>
        </w:rPr>
        <w:t>4 comb structure. we think RAN1 needs to discuss comb-</w:t>
      </w:r>
      <w:r w:rsidRPr="471A8AD5">
        <w:rPr>
          <w:rStyle w:val="eop"/>
          <w:rFonts w:ascii="Times New Roman" w:hAnsi="Times New Roman" w:cs="Times New Roman"/>
          <w:i/>
          <w:iCs/>
          <w:sz w:val="20"/>
          <w:szCs w:val="20"/>
        </w:rPr>
        <w:t>N</w:t>
      </w:r>
      <w:r w:rsidRPr="471A8AD5">
        <w:rPr>
          <w:rStyle w:val="eop"/>
          <w:rFonts w:ascii="Times New Roman" w:hAnsi="Times New Roman" w:cs="Times New Roman"/>
          <w:sz w:val="20"/>
          <w:szCs w:val="20"/>
        </w:rPr>
        <w:t xml:space="preserve"> structure with </w:t>
      </w:r>
      <w:r w:rsidRPr="471A8AD5">
        <w:rPr>
          <w:rStyle w:val="eop"/>
          <w:rFonts w:ascii="Times New Roman" w:hAnsi="Times New Roman" w:cs="Times New Roman"/>
          <w:i/>
          <w:iCs/>
          <w:sz w:val="20"/>
          <w:szCs w:val="20"/>
        </w:rPr>
        <w:t>N&gt;4</w:t>
      </w:r>
      <w:r w:rsidRPr="471A8AD5">
        <w:rPr>
          <w:rStyle w:val="eop"/>
          <w:rFonts w:ascii="Times New Roman" w:hAnsi="Times New Roman" w:cs="Times New Roman"/>
          <w:sz w:val="20"/>
          <w:szCs w:val="20"/>
        </w:rPr>
        <w:t xml:space="preserve"> for positioning purpose. </w:t>
      </w:r>
    </w:p>
    <w:p w14:paraId="1C9BBF15" w14:textId="77777777" w:rsidR="0022563F" w:rsidRPr="00176768" w:rsidRDefault="0022563F" w:rsidP="0022563F">
      <w:pPr>
        <w:pStyle w:val="paragraph"/>
        <w:spacing w:before="0" w:beforeAutospacing="0" w:after="180" w:afterAutospacing="0"/>
        <w:jc w:val="both"/>
        <w:textAlignment w:val="baseline"/>
        <w:rPr>
          <w:rFonts w:ascii="Times New Roman" w:hAnsi="Times New Roman" w:cs="Times New Roman"/>
          <w:sz w:val="20"/>
          <w:szCs w:val="20"/>
          <w:lang w:val="en-GB"/>
        </w:rPr>
      </w:pPr>
      <w:r w:rsidRPr="00176768">
        <w:rPr>
          <w:rFonts w:ascii="Times New Roman" w:hAnsi="Times New Roman" w:cs="Times New Roman"/>
          <w:b/>
          <w:sz w:val="20"/>
          <w:szCs w:val="20"/>
          <w:lang w:val="en-GB"/>
        </w:rPr>
        <w:t>Proposal 1 :</w:t>
      </w:r>
      <w:r w:rsidRPr="00176768">
        <w:rPr>
          <w:rFonts w:ascii="Times New Roman" w:hAnsi="Times New Roman" w:cs="Times New Roman"/>
          <w:sz w:val="20"/>
          <w:szCs w:val="20"/>
          <w:lang w:val="en-GB"/>
        </w:rPr>
        <w:t xml:space="preserve"> The baseline SRS for UL positioning is NR SRS comb-2 or comb-4 with staggering allocation with adopting Rel-15 NR SRS configurations.</w:t>
      </w:r>
    </w:p>
    <w:p w14:paraId="4111DE6A" w14:textId="4849308B" w:rsidR="0022563F" w:rsidRPr="000A4688" w:rsidRDefault="0022563F" w:rsidP="0022563F">
      <w:pPr>
        <w:pStyle w:val="paragraph"/>
        <w:spacing w:before="0" w:beforeAutospacing="0" w:after="180" w:afterAutospacing="0"/>
        <w:jc w:val="both"/>
        <w:textAlignment w:val="baseline"/>
        <w:rPr>
          <w:rFonts w:ascii="Times New Roman" w:hAnsi="Times New Roman" w:cs="Times New Roman"/>
          <w:sz w:val="20"/>
          <w:szCs w:val="20"/>
          <w:lang w:val="en-GB"/>
        </w:rPr>
      </w:pPr>
      <w:r w:rsidRPr="00176768">
        <w:rPr>
          <w:rFonts w:ascii="Times New Roman" w:hAnsi="Times New Roman" w:cs="Times New Roman"/>
          <w:b/>
          <w:sz w:val="20"/>
          <w:szCs w:val="20"/>
          <w:lang w:val="en-GB"/>
        </w:rPr>
        <w:t>Proposal 2 :</w:t>
      </w:r>
      <w:r w:rsidRPr="00176768">
        <w:rPr>
          <w:rFonts w:ascii="Times New Roman" w:hAnsi="Times New Roman" w:cs="Times New Roman"/>
          <w:sz w:val="20"/>
          <w:szCs w:val="20"/>
          <w:lang w:val="en-GB"/>
        </w:rPr>
        <w:t xml:space="preserve"> Consider comb-</w:t>
      </w:r>
      <w:r w:rsidRPr="00176768">
        <w:rPr>
          <w:rFonts w:ascii="Times New Roman" w:hAnsi="Times New Roman" w:cs="Times New Roman"/>
          <w:i/>
          <w:sz w:val="20"/>
          <w:szCs w:val="20"/>
          <w:lang w:val="en-GB"/>
        </w:rPr>
        <w:t>N</w:t>
      </w:r>
      <w:r w:rsidRPr="00176768">
        <w:rPr>
          <w:rFonts w:ascii="Times New Roman" w:hAnsi="Times New Roman" w:cs="Times New Roman"/>
          <w:sz w:val="20"/>
          <w:szCs w:val="20"/>
          <w:lang w:val="en-GB"/>
        </w:rPr>
        <w:t xml:space="preserve"> SRS structure for UL positioning with </w:t>
      </w:r>
      <w:r w:rsidRPr="00176768">
        <w:rPr>
          <w:rFonts w:ascii="Times New Roman" w:hAnsi="Times New Roman" w:cs="Times New Roman"/>
          <w:i/>
          <w:sz w:val="20"/>
          <w:szCs w:val="20"/>
          <w:lang w:val="en-GB"/>
        </w:rPr>
        <w:t>N=1 and N&gt;4 (i.e. N=6)</w:t>
      </w:r>
      <w:r w:rsidRPr="00176768">
        <w:rPr>
          <w:rFonts w:ascii="Times New Roman" w:hAnsi="Times New Roman" w:cs="Times New Roman"/>
          <w:sz w:val="20"/>
          <w:szCs w:val="20"/>
          <w:lang w:val="en-GB"/>
        </w:rPr>
        <w:t>, which require Rel-15 SRS specification changes.</w:t>
      </w:r>
    </w:p>
    <w:p w14:paraId="658E6AA9" w14:textId="77777777" w:rsidR="0022563F" w:rsidRPr="00A324FF" w:rsidRDefault="0022563F" w:rsidP="0022563F">
      <w:pPr>
        <w:pStyle w:val="paragraph"/>
        <w:spacing w:before="0" w:beforeAutospacing="0" w:after="180" w:afterAutospacing="0"/>
        <w:jc w:val="both"/>
        <w:textAlignment w:val="baseline"/>
        <w:rPr>
          <w:rFonts w:ascii="Times New Roman" w:hAnsi="Times New Roman" w:cs="Times New Roman"/>
          <w:b/>
          <w:i/>
          <w:sz w:val="20"/>
          <w:szCs w:val="20"/>
          <w:u w:val="single"/>
        </w:rPr>
      </w:pPr>
      <w:r w:rsidRPr="00A324FF">
        <w:rPr>
          <w:rFonts w:ascii="Times New Roman" w:hAnsi="Times New Roman" w:cs="Times New Roman"/>
          <w:b/>
          <w:i/>
          <w:sz w:val="20"/>
          <w:szCs w:val="20"/>
          <w:u w:val="single"/>
        </w:rPr>
        <w:t>Rel-15 Precoded SRS</w:t>
      </w:r>
    </w:p>
    <w:p w14:paraId="239ED3A7" w14:textId="19525964" w:rsidR="0022563F" w:rsidRDefault="471A8AD5" w:rsidP="471A8AD5">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471A8AD5">
        <w:rPr>
          <w:rStyle w:val="normaltextrun"/>
          <w:rFonts w:ascii="Times New Roman" w:hAnsi="Times New Roman" w:cs="Times New Roman"/>
          <w:sz w:val="20"/>
          <w:szCs w:val="20"/>
        </w:rPr>
        <w:lastRenderedPageBreak/>
        <w:t xml:space="preserve">For UL positioning, a very simple way of UE SRS transmission will be quasi-omni-directional transmission as agreed in the last meeting. We note that Rel-15 SRS is designed with digital precoding and analog beamforming. TS38.214 6.1.1 addresses about UL transmissions. It says that two SRS transmission schemes are possible with codebook-based transmission and non-codebook-based transmission as PUSCH transmission. Such SRS precoding behaviors limit more hearability of neighbor cell, we think that SRS precoding should be different at least for UL positioning purpose. There is SRS precoding RRC parameter of </w:t>
      </w:r>
      <w:r w:rsidRPr="471A8AD5">
        <w:rPr>
          <w:rStyle w:val="normaltextrun"/>
          <w:rFonts w:ascii="Times New Roman" w:hAnsi="Times New Roman" w:cs="Times New Roman"/>
          <w:i/>
          <w:iCs/>
          <w:sz w:val="20"/>
          <w:szCs w:val="20"/>
        </w:rPr>
        <w:t>“spatialRelationInfo”</w:t>
      </w:r>
      <w:r w:rsidRPr="471A8AD5">
        <w:rPr>
          <w:rStyle w:val="normaltextrun"/>
          <w:rFonts w:ascii="Times New Roman" w:hAnsi="Times New Roman" w:cs="Times New Roman"/>
          <w:sz w:val="20"/>
          <w:szCs w:val="20"/>
        </w:rPr>
        <w:t xml:space="preserve"> in TS38.331. It is unclear yet how UE’s SRS precoding behaves when RRC </w:t>
      </w:r>
      <w:r w:rsidRPr="471A8AD5">
        <w:rPr>
          <w:rStyle w:val="normaltextrun"/>
          <w:rFonts w:ascii="Times New Roman" w:hAnsi="Times New Roman" w:cs="Times New Roman"/>
          <w:i/>
          <w:iCs/>
          <w:sz w:val="20"/>
          <w:szCs w:val="20"/>
        </w:rPr>
        <w:t xml:space="preserve">“spatialRelationInfo” field </w:t>
      </w:r>
      <w:r w:rsidRPr="471A8AD5">
        <w:rPr>
          <w:rStyle w:val="normaltextrun"/>
          <w:rFonts w:ascii="Times New Roman" w:hAnsi="Times New Roman" w:cs="Times New Roman"/>
          <w:sz w:val="20"/>
          <w:szCs w:val="20"/>
        </w:rPr>
        <w:t>is not given. In this case, an UE is allowed to use an arbitrary precoder on SRS transmission, which does not mean exactly non-precoding SRS. Non-precoding SRS transmission needs further clarification in TS38.214. We propose to clarify Rel-15 SRS precoding behaviors further to configure such that an UE does not apply precoding to SRS resource configurations for UL positioning purpose. Non-precoding means SRS ports make one-to-one mapping to physical TX antenna ports. Of course, network can configure other SRS resource configurations with precoded SRS for sounding and CSI purpose, of which behavior needs to be separated from positioning SRS to improve hearability. Regarding this, standard clarification is required.</w:t>
      </w:r>
    </w:p>
    <w:p w14:paraId="1F2A639E" w14:textId="77777777" w:rsidR="0022563F" w:rsidRDefault="0022563F" w:rsidP="0022563F">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00A324FF">
        <w:rPr>
          <w:rStyle w:val="normaltextrun"/>
          <w:rFonts w:ascii="Times New Roman" w:hAnsi="Times New Roman" w:cs="Times New Roman"/>
          <w:b/>
          <w:sz w:val="20"/>
          <w:szCs w:val="20"/>
        </w:rPr>
        <w:t xml:space="preserve">Observation 2 : </w:t>
      </w:r>
      <w:r w:rsidRPr="00A324FF">
        <w:rPr>
          <w:rStyle w:val="normaltextrun"/>
          <w:rFonts w:ascii="Times New Roman" w:hAnsi="Times New Roman" w:cs="Times New Roman"/>
          <w:sz w:val="20"/>
          <w:szCs w:val="20"/>
        </w:rPr>
        <w:t>Rel-15 SRS can be precoded</w:t>
      </w:r>
      <w:r>
        <w:rPr>
          <w:rStyle w:val="normaltextrun"/>
          <w:rFonts w:ascii="Times New Roman" w:hAnsi="Times New Roman" w:cs="Times New Roman"/>
          <w:sz w:val="20"/>
          <w:szCs w:val="20"/>
        </w:rPr>
        <w:t xml:space="preserve"> as PUSCH transmission toward serving cell</w:t>
      </w:r>
      <w:r w:rsidRPr="00A324FF">
        <w:rPr>
          <w:rStyle w:val="normaltextrun"/>
          <w:rFonts w:ascii="Times New Roman" w:hAnsi="Times New Roman" w:cs="Times New Roman"/>
          <w:sz w:val="20"/>
          <w:szCs w:val="20"/>
        </w:rPr>
        <w:t xml:space="preserve">, </w:t>
      </w:r>
      <w:r>
        <w:rPr>
          <w:rStyle w:val="normaltextrun"/>
          <w:rFonts w:ascii="Times New Roman" w:hAnsi="Times New Roman" w:cs="Times New Roman"/>
          <w:sz w:val="20"/>
          <w:szCs w:val="20"/>
        </w:rPr>
        <w:t xml:space="preserve">so it limits SRS hearability of neighbor cells in both FR1 and FR2 usecases. </w:t>
      </w:r>
    </w:p>
    <w:p w14:paraId="0281CA52" w14:textId="0F3BE47D" w:rsidR="0022563F" w:rsidRDefault="0022563F" w:rsidP="0022563F">
      <w:pPr>
        <w:pStyle w:val="paragraph"/>
        <w:spacing w:before="0" w:beforeAutospacing="0" w:after="180" w:afterAutospacing="0"/>
        <w:jc w:val="both"/>
        <w:textAlignment w:val="baseline"/>
        <w:rPr>
          <w:rFonts w:ascii="Segoe UI" w:hAnsi="Segoe UI" w:cs="Segoe UI"/>
          <w:sz w:val="20"/>
          <w:szCs w:val="20"/>
        </w:rPr>
      </w:pPr>
      <w:r w:rsidRPr="00A324FF">
        <w:rPr>
          <w:rStyle w:val="normaltextrun"/>
          <w:rFonts w:ascii="Times New Roman" w:hAnsi="Times New Roman" w:cs="Times New Roman"/>
          <w:b/>
          <w:sz w:val="20"/>
          <w:szCs w:val="20"/>
        </w:rPr>
        <w:t>Proposal 3:</w:t>
      </w:r>
      <w:r w:rsidRPr="00A324FF">
        <w:rPr>
          <w:rFonts w:ascii="Segoe UI" w:hAnsi="Segoe UI" w:cs="Segoe UI"/>
          <w:sz w:val="20"/>
          <w:szCs w:val="20"/>
        </w:rPr>
        <w:t xml:space="preserve"> </w:t>
      </w:r>
      <w:r>
        <w:rPr>
          <w:rStyle w:val="normaltextrun"/>
          <w:rFonts w:ascii="Times New Roman" w:hAnsi="Times New Roman" w:cs="Times New Roman"/>
          <w:sz w:val="20"/>
          <w:szCs w:val="20"/>
        </w:rPr>
        <w:t>Clarify Rel-15 SRS precoding behaviors further. An UE should not apply precoding to SRS resources for UL positioning.</w:t>
      </w:r>
    </w:p>
    <w:p w14:paraId="483B6004" w14:textId="22654891" w:rsidR="0022563F" w:rsidRDefault="471A8AD5" w:rsidP="0022563F">
      <w:pPr>
        <w:pStyle w:val="Heading2"/>
        <w:jc w:val="both"/>
      </w:pPr>
      <w:r>
        <w:t>UL Positioning support for FR2</w:t>
      </w:r>
    </w:p>
    <w:p w14:paraId="28DF4416" w14:textId="77777777" w:rsidR="0022563F" w:rsidRPr="008028D8" w:rsidRDefault="0022563F" w:rsidP="0022563F">
      <w:pPr>
        <w:pStyle w:val="paragraph"/>
        <w:spacing w:before="0" w:beforeAutospacing="0" w:after="180" w:afterAutospacing="0"/>
        <w:jc w:val="both"/>
        <w:textAlignment w:val="baseline"/>
        <w:rPr>
          <w:rFonts w:ascii="Times New Roman" w:hAnsi="Times New Roman" w:cs="Times New Roman"/>
          <w:sz w:val="20"/>
          <w:szCs w:val="20"/>
        </w:rPr>
      </w:pPr>
      <w:r>
        <w:rPr>
          <w:rStyle w:val="normaltextrun"/>
          <w:rFonts w:ascii="Times New Roman" w:hAnsi="Times New Roman" w:cs="Times New Roman"/>
          <w:sz w:val="20"/>
          <w:szCs w:val="20"/>
        </w:rPr>
        <w:t>F</w:t>
      </w:r>
      <w:r w:rsidRPr="008028D8">
        <w:rPr>
          <w:rStyle w:val="normaltextrun"/>
          <w:rFonts w:ascii="Times New Roman" w:hAnsi="Times New Roman" w:cs="Times New Roman"/>
          <w:sz w:val="20"/>
          <w:szCs w:val="20"/>
        </w:rPr>
        <w:t xml:space="preserve">or FR2, there exists </w:t>
      </w:r>
      <w:r>
        <w:rPr>
          <w:rStyle w:val="normaltextrun"/>
          <w:rFonts w:ascii="Times New Roman" w:hAnsi="Times New Roman" w:cs="Times New Roman"/>
          <w:sz w:val="20"/>
          <w:szCs w:val="20"/>
        </w:rPr>
        <w:t xml:space="preserve">hearability issue. </w:t>
      </w:r>
      <w:r w:rsidRPr="008028D8">
        <w:rPr>
          <w:rStyle w:val="normaltextrun"/>
          <w:rFonts w:ascii="Times New Roman" w:hAnsi="Times New Roman" w:cs="Times New Roman"/>
          <w:sz w:val="20"/>
          <w:szCs w:val="20"/>
        </w:rPr>
        <w:t>In this case it may require the UE to send multiple signals using different beams in order to be heard by a </w:t>
      </w:r>
      <w:r w:rsidRPr="008028D8">
        <w:rPr>
          <w:rStyle w:val="advancedproofingissue"/>
          <w:rFonts w:ascii="Times New Roman" w:hAnsi="Times New Roman" w:cs="Times New Roman"/>
          <w:sz w:val="20"/>
          <w:szCs w:val="20"/>
        </w:rPr>
        <w:t>sufficient number of</w:t>
      </w:r>
      <w:r w:rsidRPr="008028D8">
        <w:rPr>
          <w:rStyle w:val="normaltextrun"/>
          <w:rFonts w:ascii="Times New Roman" w:hAnsi="Times New Roman" w:cs="Times New Roman"/>
          <w:sz w:val="20"/>
          <w:szCs w:val="20"/>
        </w:rPr>
        <w:t> </w:t>
      </w:r>
      <w:r w:rsidRPr="008028D8">
        <w:rPr>
          <w:rStyle w:val="spellingerror"/>
          <w:rFonts w:ascii="Times New Roman" w:hAnsi="Times New Roman" w:cs="Times New Roman"/>
          <w:sz w:val="20"/>
          <w:szCs w:val="20"/>
        </w:rPr>
        <w:t>gNBs</w:t>
      </w:r>
      <w:r w:rsidRPr="008028D8">
        <w:rPr>
          <w:rStyle w:val="normaltextrun"/>
          <w:rFonts w:ascii="Times New Roman" w:hAnsi="Times New Roman" w:cs="Times New Roman"/>
          <w:sz w:val="20"/>
          <w:szCs w:val="20"/>
        </w:rPr>
        <w:t> to perform UTDOA. </w:t>
      </w:r>
      <w:r w:rsidRPr="008028D8">
        <w:rPr>
          <w:rStyle w:val="eop"/>
          <w:rFonts w:ascii="Times New Roman" w:hAnsi="Times New Roman" w:cs="Times New Roman"/>
          <w:sz w:val="20"/>
          <w:szCs w:val="20"/>
        </w:rPr>
        <w:t> </w:t>
      </w:r>
    </w:p>
    <w:p w14:paraId="1843C72D" w14:textId="62DCE97B" w:rsidR="0022563F" w:rsidRDefault="471A8AD5" w:rsidP="471A8AD5">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471A8AD5">
        <w:rPr>
          <w:rStyle w:val="normaltextrun"/>
          <w:rFonts w:ascii="Times New Roman" w:hAnsi="Times New Roman" w:cs="Times New Roman"/>
          <w:sz w:val="20"/>
          <w:szCs w:val="20"/>
        </w:rPr>
        <w:t>In Rel-15, SRS-based beam management scheme has been defined, a beamforming capable UE can sweep the SRS beams to find the best beam pair between a serving gNB and an UE. For a fixed gNB RX beam, a UE tries beam sweeping as Figure 2. Also, for a fixed UE beam, gNB RX beams can be swept to find the best beam pair. Therefore, the basic UL-based beam sweeping concept exists in Rel-15, but it is only toward the serving cell, neighbor cells are not considered regarding the beam sweeping information.</w:t>
      </w:r>
    </w:p>
    <w:bookmarkStart w:id="2" w:name="_MON_1611472260"/>
    <w:bookmarkEnd w:id="2"/>
    <w:p w14:paraId="7B3CD240" w14:textId="77777777" w:rsidR="0022563F" w:rsidRDefault="0022563F" w:rsidP="0022563F">
      <w:pPr>
        <w:pStyle w:val="paragraph"/>
        <w:spacing w:before="0" w:beforeAutospacing="0" w:after="180" w:afterAutospacing="0"/>
        <w:jc w:val="center"/>
        <w:textAlignment w:val="baseline"/>
      </w:pPr>
      <w:r>
        <w:object w:dxaOrig="6899" w:dyaOrig="5376" w14:anchorId="0406A128">
          <v:shape id="_x0000_i1026" type="#_x0000_t75" style="width:243pt;height:189pt" o:ole="">
            <v:imagedata r:id="rId15" o:title=""/>
          </v:shape>
          <o:OLEObject Type="Embed" ProgID="Visio.Drawing.15" ShapeID="_x0000_i1026" DrawAspect="Content" ObjectID="_1611729946" r:id="rId16"/>
        </w:object>
      </w:r>
    </w:p>
    <w:p w14:paraId="675AD756" w14:textId="77777777" w:rsidR="0022563F" w:rsidRDefault="0022563F" w:rsidP="0022563F">
      <w:pPr>
        <w:pStyle w:val="paragraph"/>
        <w:spacing w:before="0" w:beforeAutospacing="0" w:after="180" w:afterAutospacing="0"/>
        <w:jc w:val="center"/>
        <w:textAlignment w:val="baseline"/>
        <w:rPr>
          <w:rFonts w:ascii="Segoe UI" w:hAnsi="Segoe UI" w:cs="Segoe UI"/>
          <w:sz w:val="20"/>
          <w:szCs w:val="20"/>
        </w:rPr>
      </w:pPr>
      <w:r w:rsidRPr="00EC33CC">
        <w:rPr>
          <w:rFonts w:ascii="Segoe UI" w:hAnsi="Segoe UI" w:cs="Segoe UI"/>
          <w:b/>
          <w:sz w:val="20"/>
          <w:szCs w:val="20"/>
        </w:rPr>
        <w:t>Figure 2 :</w:t>
      </w:r>
      <w:r>
        <w:rPr>
          <w:rFonts w:ascii="Segoe UI" w:hAnsi="Segoe UI" w:cs="Segoe UI"/>
          <w:sz w:val="20"/>
          <w:szCs w:val="20"/>
        </w:rPr>
        <w:t xml:space="preserve"> Rel-15 SRS-based UL beam management in NR : </w:t>
      </w:r>
      <w:r>
        <w:rPr>
          <w:rFonts w:ascii="Segoe UI" w:hAnsi="Segoe UI" w:cs="Segoe UI"/>
          <w:sz w:val="20"/>
          <w:szCs w:val="20"/>
        </w:rPr>
        <w:br/>
        <w:t xml:space="preserve">Upper : NR beam sweeping for UL TX beam refinement toward serving cell, </w:t>
      </w:r>
      <w:r>
        <w:rPr>
          <w:rFonts w:ascii="Segoe UI" w:hAnsi="Segoe UI" w:cs="Segoe UI"/>
          <w:sz w:val="20"/>
          <w:szCs w:val="20"/>
        </w:rPr>
        <w:br/>
        <w:t>Lower : SRS-based UL RX beam refinement (lower)</w:t>
      </w:r>
    </w:p>
    <w:p w14:paraId="2303E246" w14:textId="77777777" w:rsidR="0022563F" w:rsidRDefault="0022563F" w:rsidP="0022563F">
      <w:pPr>
        <w:pStyle w:val="paragraph"/>
        <w:spacing w:before="0" w:beforeAutospacing="0" w:after="180" w:afterAutospacing="0"/>
        <w:jc w:val="both"/>
        <w:textAlignment w:val="baseline"/>
        <w:rPr>
          <w:rStyle w:val="normaltextrun"/>
          <w:rFonts w:ascii="Times New Roman" w:hAnsi="Times New Roman" w:cs="Times New Roman"/>
          <w:sz w:val="20"/>
          <w:szCs w:val="20"/>
        </w:rPr>
      </w:pPr>
    </w:p>
    <w:p w14:paraId="670C5DB6" w14:textId="10F11E24" w:rsidR="0022563F" w:rsidRDefault="471A8AD5" w:rsidP="471A8AD5">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471A8AD5">
        <w:rPr>
          <w:rStyle w:val="normaltextrun"/>
          <w:rFonts w:ascii="Times New Roman" w:hAnsi="Times New Roman" w:cs="Times New Roman"/>
          <w:sz w:val="20"/>
          <w:szCs w:val="20"/>
        </w:rPr>
        <w:t xml:space="preserve">However, these procedures in Figure 2 does not take neighbor cell hearability into account at all. It seemed unnecessary to include the neighbor cell behaviors in Rel-15 discussions, however Rel-16 positioning sees needs of both TX and RX beam sweeping behaviors to overcome hearability issues in FR2. Although quasi-omni-directional transmission is assumed from a UE, gNB RX beams need to be refined especially in FR2. Otherwise the hearability will be very poor except the serving cell. </w:t>
      </w:r>
    </w:p>
    <w:p w14:paraId="6073F77E" w14:textId="77777777" w:rsidR="0022563F" w:rsidRDefault="0022563F" w:rsidP="0022563F">
      <w:pPr>
        <w:pStyle w:val="paragraph"/>
        <w:spacing w:before="0" w:beforeAutospacing="0" w:after="180" w:afterAutospacing="0"/>
        <w:jc w:val="both"/>
        <w:textAlignment w:val="baseline"/>
        <w:rPr>
          <w:rStyle w:val="normaltextrun"/>
          <w:rFonts w:ascii="Times New Roman" w:hAnsi="Times New Roman" w:cs="Times New Roman"/>
          <w:sz w:val="20"/>
          <w:szCs w:val="20"/>
        </w:rPr>
      </w:pPr>
      <w:r>
        <w:rPr>
          <w:rStyle w:val="normaltextrun"/>
          <w:rFonts w:ascii="Times New Roman" w:hAnsi="Times New Roman" w:cs="Times New Roman"/>
          <w:sz w:val="20"/>
          <w:szCs w:val="20"/>
        </w:rPr>
        <w:lastRenderedPageBreak/>
        <w:t xml:space="preserve">As agreement in the last meeting, </w:t>
      </w:r>
      <w:r w:rsidRPr="00865822">
        <w:rPr>
          <w:rStyle w:val="normaltextrun"/>
          <w:rFonts w:ascii="Times New Roman" w:hAnsi="Times New Roman" w:cs="Times New Roman"/>
          <w:sz w:val="20"/>
          <w:szCs w:val="20"/>
        </w:rPr>
        <w:t>DL reception and beam correspondence</w:t>
      </w:r>
      <w:r>
        <w:rPr>
          <w:rStyle w:val="normaltextrun"/>
          <w:rFonts w:ascii="Times New Roman" w:hAnsi="Times New Roman" w:cs="Times New Roman"/>
          <w:sz w:val="20"/>
          <w:szCs w:val="20"/>
        </w:rPr>
        <w:t xml:space="preserve"> can be used for </w:t>
      </w:r>
      <w:r w:rsidRPr="00865822">
        <w:rPr>
          <w:rStyle w:val="normaltextrun"/>
          <w:rFonts w:ascii="Times New Roman" w:hAnsi="Times New Roman" w:cs="Times New Roman"/>
          <w:sz w:val="20"/>
          <w:szCs w:val="20"/>
        </w:rPr>
        <w:t>UL beam alignment at FR2</w:t>
      </w:r>
      <w:r>
        <w:rPr>
          <w:rStyle w:val="normaltextrun"/>
          <w:rFonts w:ascii="Times New Roman" w:hAnsi="Times New Roman" w:cs="Times New Roman"/>
          <w:sz w:val="20"/>
          <w:szCs w:val="20"/>
        </w:rPr>
        <w:t xml:space="preserve"> as the agreed assumption. The number of measurements is not enough for positioning performance, because the number of DL-beam-paired UE and neighbor cells will be few in practice.  </w:t>
      </w:r>
    </w:p>
    <w:p w14:paraId="5BEA7796" w14:textId="070ABE46" w:rsidR="0022563F" w:rsidRDefault="471A8AD5" w:rsidP="471A8AD5">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471A8AD5">
        <w:rPr>
          <w:rStyle w:val="normaltextrun"/>
          <w:rFonts w:ascii="Times New Roman" w:hAnsi="Times New Roman" w:cs="Times New Roman"/>
          <w:sz w:val="20"/>
          <w:szCs w:val="20"/>
        </w:rPr>
        <w:t xml:space="preserve">The beam sweeping neighbor gNBs still has to set a RX beam correctly corresponding to a SRS transmission, additionally UE TX beamform also achieves hearability improvement. While UEs are scheduled to transmit SRS for positioning, gNBs around UEs may be able to sweep its RX beam together. Therefore, in this case, time length of SRS transmission needs to be long enough to complete RX beam refinement. </w:t>
      </w:r>
    </w:p>
    <w:p w14:paraId="4CFA9506" w14:textId="77777777" w:rsidR="0022563F" w:rsidRPr="009D1191" w:rsidRDefault="0022563F" w:rsidP="0022563F">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00865822">
        <w:rPr>
          <w:rStyle w:val="normaltextrun"/>
          <w:rFonts w:ascii="Times New Roman" w:hAnsi="Times New Roman" w:cs="Times New Roman"/>
          <w:b/>
          <w:sz w:val="20"/>
          <w:szCs w:val="20"/>
        </w:rPr>
        <w:t>Observation 3:</w:t>
      </w:r>
      <w:r>
        <w:rPr>
          <w:rStyle w:val="normaltextrun"/>
          <w:rFonts w:ascii="Times New Roman" w:hAnsi="Times New Roman" w:cs="Times New Roman"/>
          <w:sz w:val="20"/>
          <w:szCs w:val="20"/>
        </w:rPr>
        <w:t xml:space="preserve"> </w:t>
      </w:r>
      <w:r w:rsidRPr="00865822">
        <w:rPr>
          <w:rStyle w:val="normaltextrun"/>
          <w:rFonts w:ascii="Times New Roman" w:hAnsi="Times New Roman" w:cs="Times New Roman"/>
          <w:sz w:val="20"/>
          <w:szCs w:val="20"/>
        </w:rPr>
        <w:t>DL reception and beam correspondence</w:t>
      </w:r>
      <w:r>
        <w:rPr>
          <w:rStyle w:val="normaltextrun"/>
          <w:rFonts w:ascii="Times New Roman" w:hAnsi="Times New Roman" w:cs="Times New Roman"/>
          <w:sz w:val="20"/>
          <w:szCs w:val="20"/>
        </w:rPr>
        <w:t xml:space="preserve"> can be used for </w:t>
      </w:r>
      <w:r w:rsidRPr="00865822">
        <w:rPr>
          <w:rStyle w:val="normaltextrun"/>
          <w:rFonts w:ascii="Times New Roman" w:hAnsi="Times New Roman" w:cs="Times New Roman"/>
          <w:sz w:val="20"/>
          <w:szCs w:val="20"/>
        </w:rPr>
        <w:t>UL beam alignment at FR2</w:t>
      </w:r>
      <w:r>
        <w:rPr>
          <w:rStyle w:val="normaltextrun"/>
          <w:rFonts w:ascii="Times New Roman" w:hAnsi="Times New Roman" w:cs="Times New Roman"/>
          <w:sz w:val="20"/>
          <w:szCs w:val="20"/>
        </w:rPr>
        <w:t xml:space="preserve"> as the agreed assumption. The number of measurements is not enough for positioning performance, because the number of DL-beam-paired UE and neighbor cells will be few in practice. </w:t>
      </w:r>
    </w:p>
    <w:p w14:paraId="4433F7B9" w14:textId="568C7028" w:rsidR="0022563F" w:rsidRPr="007B06D2" w:rsidRDefault="1188D478" w:rsidP="1188D478">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1188D478">
        <w:rPr>
          <w:rStyle w:val="normaltextrun"/>
          <w:rFonts w:ascii="Times New Roman" w:hAnsi="Times New Roman" w:cs="Times New Roman"/>
          <w:b/>
          <w:bCs/>
          <w:sz w:val="20"/>
          <w:szCs w:val="20"/>
        </w:rPr>
        <w:t xml:space="preserve">Proposal 4 : </w:t>
      </w:r>
      <w:r w:rsidRPr="1188D478">
        <w:rPr>
          <w:rStyle w:val="normaltextrun"/>
          <w:rFonts w:ascii="Times New Roman" w:hAnsi="Times New Roman" w:cs="Times New Roman"/>
          <w:sz w:val="20"/>
          <w:szCs w:val="20"/>
        </w:rPr>
        <w:t>Consider beam sweeping mechanisms both in TX and RX sides.</w:t>
      </w:r>
    </w:p>
    <w:p w14:paraId="24B7962E" w14:textId="68EBD446" w:rsidR="1188D478" w:rsidRDefault="1188D478" w:rsidP="1188D478">
      <w:pPr>
        <w:pStyle w:val="paragraph"/>
        <w:spacing w:before="0" w:beforeAutospacing="0" w:after="180" w:afterAutospacing="0"/>
        <w:jc w:val="both"/>
        <w:rPr>
          <w:rStyle w:val="normaltextrun"/>
          <w:rFonts w:ascii="Times New Roman" w:hAnsi="Times New Roman" w:cs="Times New Roman"/>
          <w:sz w:val="20"/>
          <w:szCs w:val="20"/>
        </w:rPr>
      </w:pPr>
      <w:r w:rsidRPr="1188D478">
        <w:rPr>
          <w:rStyle w:val="normaltextrun"/>
          <w:rFonts w:ascii="Times New Roman" w:hAnsi="Times New Roman" w:cs="Times New Roman"/>
          <w:sz w:val="20"/>
          <w:szCs w:val="20"/>
        </w:rPr>
        <w:t xml:space="preserve">Note that Rel-15 already introduced beam-sweeping mechanism for beam-pairing as Figure 2, so we think it is worthy to discuss beam sweeping mechanisms for reasonable UL positioning performance. </w:t>
      </w:r>
    </w:p>
    <w:p w14:paraId="79078D6A" w14:textId="2328014C" w:rsidR="00175D95" w:rsidRDefault="00A00A2D" w:rsidP="00A00A2D">
      <w:pPr>
        <w:overflowPunct/>
        <w:autoSpaceDE/>
        <w:autoSpaceDN/>
        <w:adjustRightInd/>
        <w:spacing w:after="0"/>
        <w:rPr>
          <w:rFonts w:ascii="Arial" w:eastAsia="Times New Roman" w:hAnsi="Arial" w:cs="Arial"/>
          <w:sz w:val="32"/>
          <w:szCs w:val="32"/>
          <w:lang w:val="en-US" w:eastAsia="ko-KR"/>
        </w:rPr>
      </w:pPr>
      <w:r>
        <w:rPr>
          <w:rFonts w:ascii="Arial" w:eastAsia="Times New Roman" w:hAnsi="Arial" w:cs="Arial"/>
          <w:sz w:val="32"/>
          <w:szCs w:val="32"/>
          <w:lang w:eastAsia="ko-KR"/>
        </w:rPr>
        <w:t xml:space="preserve">2.3  </w:t>
      </w:r>
      <w:r w:rsidR="00175D95" w:rsidRPr="00175D95">
        <w:rPr>
          <w:rFonts w:ascii="Arial" w:eastAsia="Times New Roman" w:hAnsi="Arial" w:cs="Arial"/>
          <w:sz w:val="32"/>
          <w:szCs w:val="32"/>
          <w:lang w:eastAsia="ko-KR"/>
        </w:rPr>
        <w:t>UL angle based solutions</w:t>
      </w:r>
      <w:r w:rsidR="00175D95" w:rsidRPr="00175D95">
        <w:rPr>
          <w:rFonts w:ascii="Arial" w:eastAsia="Times New Roman" w:hAnsi="Arial" w:cs="Arial"/>
          <w:sz w:val="32"/>
          <w:szCs w:val="32"/>
          <w:lang w:val="en-US" w:eastAsia="ko-KR"/>
        </w:rPr>
        <w:t> </w:t>
      </w:r>
    </w:p>
    <w:p w14:paraId="63D83A5F" w14:textId="77777777" w:rsidR="00175D95" w:rsidRPr="00175D95" w:rsidRDefault="00175D95" w:rsidP="00175D95">
      <w:pPr>
        <w:overflowPunct/>
        <w:autoSpaceDE/>
        <w:autoSpaceDN/>
        <w:adjustRightInd/>
        <w:spacing w:after="0"/>
        <w:rPr>
          <w:rFonts w:ascii="Arial" w:eastAsia="Times New Roman" w:hAnsi="Arial" w:cs="Arial"/>
          <w:sz w:val="32"/>
          <w:szCs w:val="32"/>
          <w:lang w:val="en-US" w:eastAsia="ko-KR"/>
        </w:rPr>
      </w:pPr>
    </w:p>
    <w:p w14:paraId="31C91797" w14:textId="50C6985A" w:rsidR="00175D95" w:rsidRPr="000A4688" w:rsidRDefault="00175D95" w:rsidP="00175D95">
      <w:pPr>
        <w:overflowPunct/>
        <w:autoSpaceDE/>
        <w:autoSpaceDN/>
        <w:adjustRightInd/>
        <w:spacing w:after="0"/>
        <w:rPr>
          <w:rFonts w:eastAsia="Times New Roman"/>
          <w:lang w:val="en-US" w:eastAsia="ko-KR"/>
        </w:rPr>
      </w:pPr>
      <w:r w:rsidRPr="000A4688">
        <w:rPr>
          <w:rFonts w:eastAsia="Times New Roman"/>
          <w:lang w:eastAsia="ko-KR"/>
        </w:rPr>
        <w:t>Our previous contribution [5] presented our initial view on UL AoA based positioning. We continue that discussion here. So far there haven’t been any proposals to introduce a new reference signal for UL AoA positioning. The common understanding of RAN1 seems to be that existing reference signals are sufficient for UL AoA positioning. Reference signal design for UL positioning is expected to take part mostly in the work item phase of the NR positioning work.</w:t>
      </w:r>
      <w:r w:rsidRPr="000A4688">
        <w:rPr>
          <w:rFonts w:eastAsia="Times New Roman"/>
          <w:lang w:val="en-US" w:eastAsia="ko-KR"/>
        </w:rPr>
        <w:t> </w:t>
      </w:r>
    </w:p>
    <w:p w14:paraId="6DCF8311" w14:textId="77777777" w:rsidR="00A00A2D" w:rsidRPr="000A4688" w:rsidRDefault="00A00A2D" w:rsidP="00175D95">
      <w:pPr>
        <w:overflowPunct/>
        <w:autoSpaceDE/>
        <w:autoSpaceDN/>
        <w:adjustRightInd/>
        <w:spacing w:after="0"/>
        <w:rPr>
          <w:rFonts w:ascii="Arial" w:eastAsia="Times New Roman" w:hAnsi="Arial" w:cs="Arial"/>
          <w:lang w:val="en-US" w:eastAsia="ko-KR"/>
        </w:rPr>
      </w:pPr>
    </w:p>
    <w:p w14:paraId="0A9ACDE8" w14:textId="3785F31E" w:rsidR="00175D95" w:rsidRPr="000A4688" w:rsidRDefault="0158BD2B" w:rsidP="0158BD2B">
      <w:pPr>
        <w:overflowPunct/>
        <w:autoSpaceDE/>
        <w:autoSpaceDN/>
        <w:adjustRightInd/>
        <w:spacing w:after="0"/>
        <w:rPr>
          <w:rFonts w:eastAsia="Times New Roman"/>
          <w:lang w:val="en-US" w:eastAsia="ko-KR"/>
        </w:rPr>
      </w:pPr>
      <w:r w:rsidRPr="000A4688">
        <w:rPr>
          <w:rFonts w:eastAsia="Times New Roman"/>
          <w:b/>
          <w:bCs/>
          <w:lang w:eastAsia="ko-KR"/>
        </w:rPr>
        <w:t>Proposal 5</w:t>
      </w:r>
      <w:r w:rsidRPr="000A4688">
        <w:rPr>
          <w:rFonts w:eastAsia="Times New Roman"/>
          <w:lang w:eastAsia="ko-KR"/>
        </w:rPr>
        <w:t>: No new reference signal will be introduced solely for UL AoA positioning. This does not preclude UL AoA positioning using a reference signal that is modified for other UL based positioning (e.g., SRS enhancement or UL PRS). </w:t>
      </w:r>
      <w:r w:rsidRPr="000A4688">
        <w:rPr>
          <w:rFonts w:eastAsia="Times New Roman"/>
          <w:lang w:val="en-US" w:eastAsia="ko-KR"/>
        </w:rPr>
        <w:t> </w:t>
      </w:r>
    </w:p>
    <w:p w14:paraId="6728523E" w14:textId="77777777" w:rsidR="00A00A2D" w:rsidRPr="000A4688" w:rsidRDefault="00A00A2D" w:rsidP="00175D95">
      <w:pPr>
        <w:overflowPunct/>
        <w:autoSpaceDE/>
        <w:autoSpaceDN/>
        <w:adjustRightInd/>
        <w:spacing w:after="0"/>
        <w:rPr>
          <w:rFonts w:ascii="Arial" w:eastAsia="Times New Roman" w:hAnsi="Arial" w:cs="Arial"/>
          <w:lang w:val="en-US" w:eastAsia="ko-KR"/>
        </w:rPr>
      </w:pPr>
    </w:p>
    <w:p w14:paraId="6FD9ECC8" w14:textId="2E956A9C" w:rsidR="00175D95" w:rsidRPr="000A4688" w:rsidRDefault="00175D95" w:rsidP="00175D95">
      <w:pPr>
        <w:overflowPunct/>
        <w:autoSpaceDE/>
        <w:autoSpaceDN/>
        <w:adjustRightInd/>
        <w:spacing w:after="0"/>
        <w:rPr>
          <w:rFonts w:eastAsia="Times New Roman"/>
          <w:lang w:val="en-US" w:eastAsia="ko-KR"/>
        </w:rPr>
      </w:pPr>
      <w:r w:rsidRPr="000A4688">
        <w:rPr>
          <w:rFonts w:eastAsia="Times New Roman"/>
          <w:b/>
          <w:bCs/>
          <w:lang w:eastAsia="ko-KR"/>
        </w:rPr>
        <w:t xml:space="preserve">Proposal </w:t>
      </w:r>
      <w:r w:rsidR="0022563F" w:rsidRPr="000A4688">
        <w:rPr>
          <w:rFonts w:eastAsia="Times New Roman"/>
          <w:b/>
          <w:bCs/>
          <w:lang w:eastAsia="ko-KR"/>
        </w:rPr>
        <w:t>6</w:t>
      </w:r>
      <w:r w:rsidRPr="000A4688">
        <w:rPr>
          <w:rFonts w:eastAsia="Times New Roman"/>
          <w:lang w:eastAsia="ko-KR"/>
        </w:rPr>
        <w:t>: RAN1 NR reference signal enhancements and/or design for UL positioning should prioritize the requirements and impacts for UTDOA.</w:t>
      </w:r>
      <w:r w:rsidRPr="000A4688">
        <w:rPr>
          <w:rFonts w:eastAsia="Times New Roman"/>
          <w:lang w:val="en-US" w:eastAsia="ko-KR"/>
        </w:rPr>
        <w:t> </w:t>
      </w:r>
    </w:p>
    <w:p w14:paraId="5F58AE5E" w14:textId="77777777" w:rsidR="00D2672C" w:rsidRPr="000A4688" w:rsidRDefault="00D2672C" w:rsidP="00175D95">
      <w:pPr>
        <w:overflowPunct/>
        <w:autoSpaceDE/>
        <w:autoSpaceDN/>
        <w:adjustRightInd/>
        <w:spacing w:after="0"/>
        <w:rPr>
          <w:rFonts w:ascii="Arial" w:eastAsia="Times New Roman" w:hAnsi="Arial" w:cs="Arial"/>
          <w:lang w:val="en-US" w:eastAsia="ko-KR"/>
        </w:rPr>
      </w:pPr>
    </w:p>
    <w:p w14:paraId="165DBB01" w14:textId="71DEB802" w:rsidR="00175D95" w:rsidRPr="000A4688" w:rsidRDefault="0158BD2B" w:rsidP="0158BD2B">
      <w:pPr>
        <w:overflowPunct/>
        <w:autoSpaceDE/>
        <w:autoSpaceDN/>
        <w:adjustRightInd/>
        <w:spacing w:after="0"/>
        <w:rPr>
          <w:rFonts w:eastAsia="Times New Roman"/>
          <w:lang w:val="en-US" w:eastAsia="ko-KR"/>
        </w:rPr>
      </w:pPr>
      <w:r w:rsidRPr="000A4688">
        <w:rPr>
          <w:rFonts w:eastAsia="Times New Roman"/>
          <w:lang w:eastAsia="ko-KR"/>
        </w:rPr>
        <w:t>In LTE the AoA measurements that were specified were only for the serving cell. For UL AoA based positioning in NR the AoA measurement needs to be specified for neighboring cells as well. If all UEs are transmitting UL signals to all neighboring cells (e.g. omni-directional SRS) for UL AoA positioning this may cause interference concerns. </w:t>
      </w:r>
      <w:r w:rsidRPr="000A4688">
        <w:rPr>
          <w:rFonts w:eastAsia="Times New Roman"/>
          <w:lang w:val="en-US" w:eastAsia="ko-KR"/>
        </w:rPr>
        <w:t> </w:t>
      </w:r>
    </w:p>
    <w:p w14:paraId="1D328E10" w14:textId="77777777" w:rsidR="00D2672C" w:rsidRPr="000A4688" w:rsidRDefault="00D2672C" w:rsidP="00175D95">
      <w:pPr>
        <w:overflowPunct/>
        <w:autoSpaceDE/>
        <w:autoSpaceDN/>
        <w:adjustRightInd/>
        <w:spacing w:after="0"/>
        <w:rPr>
          <w:rFonts w:ascii="Arial" w:eastAsia="Times New Roman" w:hAnsi="Arial" w:cs="Arial"/>
          <w:lang w:val="en-US" w:eastAsia="ko-KR"/>
        </w:rPr>
      </w:pPr>
    </w:p>
    <w:p w14:paraId="24DBE311" w14:textId="4BB4F618" w:rsidR="00175D95" w:rsidRPr="000A4688" w:rsidRDefault="00175D95" w:rsidP="00175D95">
      <w:pPr>
        <w:overflowPunct/>
        <w:autoSpaceDE/>
        <w:autoSpaceDN/>
        <w:adjustRightInd/>
        <w:spacing w:after="0"/>
        <w:rPr>
          <w:rFonts w:eastAsia="Times New Roman"/>
          <w:lang w:val="en-US" w:eastAsia="ko-KR"/>
        </w:rPr>
      </w:pPr>
      <w:r w:rsidRPr="000A4688">
        <w:rPr>
          <w:rFonts w:eastAsia="Times New Roman"/>
          <w:b/>
          <w:bCs/>
          <w:lang w:eastAsia="ko-KR"/>
        </w:rPr>
        <w:t xml:space="preserve">Observation </w:t>
      </w:r>
      <w:r w:rsidR="0022563F" w:rsidRPr="000A4688">
        <w:rPr>
          <w:rFonts w:eastAsia="Times New Roman"/>
          <w:b/>
          <w:bCs/>
          <w:lang w:eastAsia="ko-KR"/>
        </w:rPr>
        <w:t>4</w:t>
      </w:r>
      <w:r w:rsidRPr="000A4688">
        <w:rPr>
          <w:rFonts w:eastAsia="Times New Roman"/>
          <w:lang w:eastAsia="ko-KR"/>
        </w:rPr>
        <w:t>: Interference impacts on UL AoA should be considered when determining the UL reference signal discussion. </w:t>
      </w:r>
      <w:r w:rsidRPr="000A4688">
        <w:rPr>
          <w:rFonts w:eastAsia="Times New Roman"/>
          <w:lang w:val="en-US" w:eastAsia="ko-KR"/>
        </w:rPr>
        <w:t> </w:t>
      </w:r>
    </w:p>
    <w:p w14:paraId="627A9165" w14:textId="77777777" w:rsidR="00D2672C" w:rsidRPr="000A4688" w:rsidRDefault="00D2672C" w:rsidP="00175D95">
      <w:pPr>
        <w:overflowPunct/>
        <w:autoSpaceDE/>
        <w:autoSpaceDN/>
        <w:adjustRightInd/>
        <w:spacing w:after="0"/>
        <w:rPr>
          <w:rFonts w:ascii="Arial" w:eastAsia="Times New Roman" w:hAnsi="Arial" w:cs="Arial"/>
          <w:lang w:val="en-US" w:eastAsia="ko-KR"/>
        </w:rPr>
      </w:pPr>
    </w:p>
    <w:p w14:paraId="22A2C484" w14:textId="1328A856" w:rsidR="00175D95" w:rsidRPr="000A4688" w:rsidRDefault="00175D95" w:rsidP="00175D95">
      <w:pPr>
        <w:overflowPunct/>
        <w:autoSpaceDE/>
        <w:autoSpaceDN/>
        <w:adjustRightInd/>
        <w:spacing w:after="0"/>
        <w:rPr>
          <w:rFonts w:eastAsia="Times New Roman"/>
          <w:lang w:val="en-US" w:eastAsia="ko-KR"/>
        </w:rPr>
      </w:pPr>
      <w:r w:rsidRPr="000A4688">
        <w:rPr>
          <w:rFonts w:eastAsia="Times New Roman"/>
          <w:lang w:eastAsia="ko-KR"/>
        </w:rPr>
        <w:t>On one hand FR2 is very attractive for UL AoA positioning as the number of antenna elements at the gNB is likely to be quite high, leading to more accurate estimates. On the other hand if the UE is performing transmit beamforming this may limit the hearability in the UL. </w:t>
      </w:r>
      <w:r w:rsidRPr="000A4688">
        <w:rPr>
          <w:rFonts w:eastAsia="Times New Roman"/>
          <w:lang w:val="en-US" w:eastAsia="ko-KR"/>
        </w:rPr>
        <w:t> </w:t>
      </w:r>
    </w:p>
    <w:p w14:paraId="19CE9A26" w14:textId="77777777" w:rsidR="00D2672C" w:rsidRPr="000A4688" w:rsidRDefault="00D2672C" w:rsidP="00175D95">
      <w:pPr>
        <w:overflowPunct/>
        <w:autoSpaceDE/>
        <w:autoSpaceDN/>
        <w:adjustRightInd/>
        <w:spacing w:after="0"/>
        <w:rPr>
          <w:rFonts w:ascii="Arial" w:eastAsia="Times New Roman" w:hAnsi="Arial" w:cs="Arial"/>
          <w:lang w:val="en-US" w:eastAsia="ko-KR"/>
        </w:rPr>
      </w:pPr>
    </w:p>
    <w:p w14:paraId="60BDC803" w14:textId="149BDB8C" w:rsidR="00D2672C" w:rsidRPr="000A4688" w:rsidRDefault="00175D95" w:rsidP="00175D95">
      <w:pPr>
        <w:overflowPunct/>
        <w:autoSpaceDE/>
        <w:autoSpaceDN/>
        <w:adjustRightInd/>
        <w:spacing w:after="0"/>
        <w:rPr>
          <w:rFonts w:eastAsia="Times New Roman"/>
          <w:lang w:eastAsia="ko-KR"/>
        </w:rPr>
      </w:pPr>
      <w:r w:rsidRPr="000A4688">
        <w:rPr>
          <w:rFonts w:eastAsia="Times New Roman"/>
          <w:b/>
          <w:bCs/>
          <w:lang w:eastAsia="ko-KR"/>
        </w:rPr>
        <w:t xml:space="preserve">Observation </w:t>
      </w:r>
      <w:r w:rsidR="0022563F" w:rsidRPr="000A4688">
        <w:rPr>
          <w:rFonts w:eastAsia="Times New Roman"/>
          <w:b/>
          <w:bCs/>
          <w:lang w:eastAsia="ko-KR"/>
        </w:rPr>
        <w:t>5</w:t>
      </w:r>
      <w:r w:rsidRPr="000A4688">
        <w:rPr>
          <w:rFonts w:eastAsia="Times New Roman"/>
          <w:lang w:eastAsia="ko-KR"/>
        </w:rPr>
        <w:t>: At FR2 the hearability in the UL may negatively impact the performance of UL AoA positioning.  </w:t>
      </w:r>
    </w:p>
    <w:p w14:paraId="10445A01" w14:textId="731190BB" w:rsidR="00885580" w:rsidRDefault="007820D0" w:rsidP="008028D8">
      <w:pPr>
        <w:pStyle w:val="Heading1"/>
        <w:jc w:val="both"/>
      </w:pPr>
      <w:r>
        <w:t>Conclusion</w:t>
      </w:r>
    </w:p>
    <w:p w14:paraId="1E959000" w14:textId="1D7F3827" w:rsidR="0092522E" w:rsidRPr="000A4688" w:rsidRDefault="0092522E" w:rsidP="0092522E">
      <w:pPr>
        <w:pStyle w:val="paragraph"/>
        <w:spacing w:before="0" w:beforeAutospacing="0" w:after="180" w:afterAutospacing="0"/>
        <w:jc w:val="both"/>
        <w:textAlignment w:val="baseline"/>
        <w:rPr>
          <w:rFonts w:ascii="Times New Roman" w:hAnsi="Times New Roman" w:cs="Times New Roman"/>
          <w:sz w:val="20"/>
          <w:szCs w:val="20"/>
          <w:lang w:val="en-GB"/>
        </w:rPr>
      </w:pPr>
      <w:r w:rsidRPr="007B06D2">
        <w:rPr>
          <w:rFonts w:ascii="Times New Roman" w:hAnsi="Times New Roman" w:cs="Times New Roman"/>
          <w:sz w:val="20"/>
          <w:szCs w:val="20"/>
          <w:lang w:val="en-GB"/>
        </w:rPr>
        <w:t>In</w:t>
      </w:r>
      <w:r>
        <w:rPr>
          <w:rFonts w:ascii="Times New Roman" w:hAnsi="Times New Roman" w:cs="Times New Roman"/>
          <w:sz w:val="20"/>
          <w:szCs w:val="20"/>
          <w:lang w:val="en-GB"/>
        </w:rPr>
        <w:t xml:space="preserve"> this contribution, we discuss about NR UL positioning with the proposals and observations below.</w:t>
      </w:r>
    </w:p>
    <w:p w14:paraId="4CE5DDE9" w14:textId="0BC4F91D" w:rsidR="0092522E" w:rsidRDefault="0092522E" w:rsidP="0092522E">
      <w:pPr>
        <w:pStyle w:val="paragraph"/>
        <w:spacing w:before="0" w:beforeAutospacing="0" w:after="180" w:afterAutospacing="0"/>
        <w:jc w:val="both"/>
        <w:textAlignment w:val="baseline"/>
        <w:rPr>
          <w:rFonts w:ascii="Times New Roman" w:hAnsi="Times New Roman" w:cs="Times New Roman"/>
          <w:sz w:val="20"/>
          <w:szCs w:val="20"/>
          <w:lang w:val="en-GB"/>
        </w:rPr>
      </w:pPr>
      <w:r w:rsidRPr="00F11242">
        <w:rPr>
          <w:rFonts w:ascii="Times New Roman" w:hAnsi="Times New Roman" w:cs="Times New Roman"/>
          <w:b/>
          <w:sz w:val="20"/>
          <w:szCs w:val="20"/>
          <w:lang w:val="en-GB"/>
        </w:rPr>
        <w:t>Observation 1 :</w:t>
      </w:r>
      <w:r>
        <w:rPr>
          <w:rFonts w:ascii="Times New Roman" w:hAnsi="Times New Roman" w:cs="Times New Roman"/>
          <w:sz w:val="20"/>
          <w:szCs w:val="20"/>
          <w:lang w:val="en-GB"/>
        </w:rPr>
        <w:t xml:space="preserve"> SRS comb-2 or comb-4 with staggering allocation is possible under Rel-15 spec.</w:t>
      </w:r>
    </w:p>
    <w:p w14:paraId="297F0D09" w14:textId="77777777" w:rsidR="0092522E" w:rsidRPr="00176768" w:rsidRDefault="0092522E" w:rsidP="0092522E">
      <w:pPr>
        <w:pStyle w:val="paragraph"/>
        <w:spacing w:before="0" w:beforeAutospacing="0" w:after="180" w:afterAutospacing="0"/>
        <w:jc w:val="both"/>
        <w:textAlignment w:val="baseline"/>
        <w:rPr>
          <w:rFonts w:ascii="Times New Roman" w:hAnsi="Times New Roman" w:cs="Times New Roman"/>
          <w:sz w:val="20"/>
          <w:szCs w:val="20"/>
          <w:lang w:val="en-GB"/>
        </w:rPr>
      </w:pPr>
      <w:r w:rsidRPr="00176768">
        <w:rPr>
          <w:rFonts w:ascii="Times New Roman" w:hAnsi="Times New Roman" w:cs="Times New Roman"/>
          <w:b/>
          <w:sz w:val="20"/>
          <w:szCs w:val="20"/>
          <w:lang w:val="en-GB"/>
        </w:rPr>
        <w:t>Proposal 1 :</w:t>
      </w:r>
      <w:r w:rsidRPr="00176768">
        <w:rPr>
          <w:rFonts w:ascii="Times New Roman" w:hAnsi="Times New Roman" w:cs="Times New Roman"/>
          <w:sz w:val="20"/>
          <w:szCs w:val="20"/>
          <w:lang w:val="en-GB"/>
        </w:rPr>
        <w:t xml:space="preserve"> The baseline SRS for UL positioning is NR SRS comb-2 or comb-4 with staggering allocation with adopting Rel-15 NR SRS configurations.</w:t>
      </w:r>
    </w:p>
    <w:p w14:paraId="0A23E080" w14:textId="77777777" w:rsidR="0092522E" w:rsidRPr="00F312F8" w:rsidRDefault="0092522E" w:rsidP="0092522E">
      <w:pPr>
        <w:pStyle w:val="paragraph"/>
        <w:spacing w:before="0" w:beforeAutospacing="0" w:after="180" w:afterAutospacing="0"/>
        <w:jc w:val="both"/>
        <w:textAlignment w:val="baseline"/>
        <w:rPr>
          <w:rFonts w:ascii="Times New Roman" w:hAnsi="Times New Roman" w:cs="Times New Roman"/>
          <w:sz w:val="20"/>
          <w:szCs w:val="20"/>
          <w:lang w:val="en-GB"/>
        </w:rPr>
      </w:pPr>
      <w:r w:rsidRPr="00176768">
        <w:rPr>
          <w:rFonts w:ascii="Times New Roman" w:hAnsi="Times New Roman" w:cs="Times New Roman"/>
          <w:b/>
          <w:sz w:val="20"/>
          <w:szCs w:val="20"/>
          <w:lang w:val="en-GB"/>
        </w:rPr>
        <w:t>Proposal 2 :</w:t>
      </w:r>
      <w:r w:rsidRPr="00176768">
        <w:rPr>
          <w:rFonts w:ascii="Times New Roman" w:hAnsi="Times New Roman" w:cs="Times New Roman"/>
          <w:sz w:val="20"/>
          <w:szCs w:val="20"/>
          <w:lang w:val="en-GB"/>
        </w:rPr>
        <w:t xml:space="preserve"> Consider comb-</w:t>
      </w:r>
      <w:r w:rsidRPr="00176768">
        <w:rPr>
          <w:rFonts w:ascii="Times New Roman" w:hAnsi="Times New Roman" w:cs="Times New Roman"/>
          <w:i/>
          <w:sz w:val="20"/>
          <w:szCs w:val="20"/>
          <w:lang w:val="en-GB"/>
        </w:rPr>
        <w:t>N</w:t>
      </w:r>
      <w:r w:rsidRPr="00176768">
        <w:rPr>
          <w:rFonts w:ascii="Times New Roman" w:hAnsi="Times New Roman" w:cs="Times New Roman"/>
          <w:sz w:val="20"/>
          <w:szCs w:val="20"/>
          <w:lang w:val="en-GB"/>
        </w:rPr>
        <w:t xml:space="preserve"> SRS structure for UL positioning with </w:t>
      </w:r>
      <w:r w:rsidRPr="00176768">
        <w:rPr>
          <w:rFonts w:ascii="Times New Roman" w:hAnsi="Times New Roman" w:cs="Times New Roman"/>
          <w:i/>
          <w:sz w:val="20"/>
          <w:szCs w:val="20"/>
          <w:lang w:val="en-GB"/>
        </w:rPr>
        <w:t>N=1 and N&gt;4 (i.e. N=6)</w:t>
      </w:r>
      <w:r w:rsidRPr="00176768">
        <w:rPr>
          <w:rFonts w:ascii="Times New Roman" w:hAnsi="Times New Roman" w:cs="Times New Roman"/>
          <w:sz w:val="20"/>
          <w:szCs w:val="20"/>
          <w:lang w:val="en-GB"/>
        </w:rPr>
        <w:t>, which require Rel-15 SRS specification changes.</w:t>
      </w:r>
    </w:p>
    <w:p w14:paraId="73774115" w14:textId="77777777" w:rsidR="000A4688" w:rsidRDefault="000A4688" w:rsidP="000A4688">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00A324FF">
        <w:rPr>
          <w:rStyle w:val="normaltextrun"/>
          <w:rFonts w:ascii="Times New Roman" w:hAnsi="Times New Roman" w:cs="Times New Roman"/>
          <w:b/>
          <w:sz w:val="20"/>
          <w:szCs w:val="20"/>
        </w:rPr>
        <w:t xml:space="preserve">Observation 2 : </w:t>
      </w:r>
      <w:r w:rsidRPr="00A324FF">
        <w:rPr>
          <w:rStyle w:val="normaltextrun"/>
          <w:rFonts w:ascii="Times New Roman" w:hAnsi="Times New Roman" w:cs="Times New Roman"/>
          <w:sz w:val="20"/>
          <w:szCs w:val="20"/>
        </w:rPr>
        <w:t>Rel-15 SRS can be precoded</w:t>
      </w:r>
      <w:r>
        <w:rPr>
          <w:rStyle w:val="normaltextrun"/>
          <w:rFonts w:ascii="Times New Roman" w:hAnsi="Times New Roman" w:cs="Times New Roman"/>
          <w:sz w:val="20"/>
          <w:szCs w:val="20"/>
        </w:rPr>
        <w:t xml:space="preserve"> as PUSCH transmission toward serving cell</w:t>
      </w:r>
      <w:r w:rsidRPr="00A324FF">
        <w:rPr>
          <w:rStyle w:val="normaltextrun"/>
          <w:rFonts w:ascii="Times New Roman" w:hAnsi="Times New Roman" w:cs="Times New Roman"/>
          <w:sz w:val="20"/>
          <w:szCs w:val="20"/>
        </w:rPr>
        <w:t xml:space="preserve">, </w:t>
      </w:r>
      <w:r>
        <w:rPr>
          <w:rStyle w:val="normaltextrun"/>
          <w:rFonts w:ascii="Times New Roman" w:hAnsi="Times New Roman" w:cs="Times New Roman"/>
          <w:sz w:val="20"/>
          <w:szCs w:val="20"/>
        </w:rPr>
        <w:t xml:space="preserve">so it limits SRS hearability of neighbor cells in both FR1 and FR2 usecases. </w:t>
      </w:r>
    </w:p>
    <w:p w14:paraId="4108BE30" w14:textId="77777777" w:rsidR="000A4688" w:rsidRDefault="000A4688" w:rsidP="000A4688">
      <w:pPr>
        <w:pStyle w:val="paragraph"/>
        <w:spacing w:before="0" w:beforeAutospacing="0" w:after="180" w:afterAutospacing="0"/>
        <w:jc w:val="both"/>
        <w:textAlignment w:val="baseline"/>
        <w:rPr>
          <w:rFonts w:ascii="Segoe UI" w:hAnsi="Segoe UI" w:cs="Segoe UI"/>
          <w:sz w:val="20"/>
          <w:szCs w:val="20"/>
        </w:rPr>
      </w:pPr>
      <w:r w:rsidRPr="00A324FF">
        <w:rPr>
          <w:rStyle w:val="normaltextrun"/>
          <w:rFonts w:ascii="Times New Roman" w:hAnsi="Times New Roman" w:cs="Times New Roman"/>
          <w:b/>
          <w:sz w:val="20"/>
          <w:szCs w:val="20"/>
        </w:rPr>
        <w:t>Proposal 3:</w:t>
      </w:r>
      <w:r w:rsidRPr="00A324FF">
        <w:rPr>
          <w:rFonts w:ascii="Segoe UI" w:hAnsi="Segoe UI" w:cs="Segoe UI"/>
          <w:sz w:val="20"/>
          <w:szCs w:val="20"/>
        </w:rPr>
        <w:t xml:space="preserve"> </w:t>
      </w:r>
      <w:r>
        <w:rPr>
          <w:rStyle w:val="normaltextrun"/>
          <w:rFonts w:ascii="Times New Roman" w:hAnsi="Times New Roman" w:cs="Times New Roman"/>
          <w:sz w:val="20"/>
          <w:szCs w:val="20"/>
        </w:rPr>
        <w:t>Clarify Rel-15 SRS precoding behaviors further. An UE should not apply precoding to SRS resources for UL positioning.</w:t>
      </w:r>
    </w:p>
    <w:p w14:paraId="26E96F15" w14:textId="77777777" w:rsidR="000A4688" w:rsidRPr="009D1191" w:rsidRDefault="000A4688" w:rsidP="000A4688">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00865822">
        <w:rPr>
          <w:rStyle w:val="normaltextrun"/>
          <w:rFonts w:ascii="Times New Roman" w:hAnsi="Times New Roman" w:cs="Times New Roman"/>
          <w:b/>
          <w:sz w:val="20"/>
          <w:szCs w:val="20"/>
        </w:rPr>
        <w:lastRenderedPageBreak/>
        <w:t>Observation 3:</w:t>
      </w:r>
      <w:r>
        <w:rPr>
          <w:rStyle w:val="normaltextrun"/>
          <w:rFonts w:ascii="Times New Roman" w:hAnsi="Times New Roman" w:cs="Times New Roman"/>
          <w:sz w:val="20"/>
          <w:szCs w:val="20"/>
        </w:rPr>
        <w:t xml:space="preserve"> </w:t>
      </w:r>
      <w:r w:rsidRPr="00865822">
        <w:rPr>
          <w:rStyle w:val="normaltextrun"/>
          <w:rFonts w:ascii="Times New Roman" w:hAnsi="Times New Roman" w:cs="Times New Roman"/>
          <w:sz w:val="20"/>
          <w:szCs w:val="20"/>
        </w:rPr>
        <w:t>DL reception and beam correspondence</w:t>
      </w:r>
      <w:r>
        <w:rPr>
          <w:rStyle w:val="normaltextrun"/>
          <w:rFonts w:ascii="Times New Roman" w:hAnsi="Times New Roman" w:cs="Times New Roman"/>
          <w:sz w:val="20"/>
          <w:szCs w:val="20"/>
        </w:rPr>
        <w:t xml:space="preserve"> can be used for </w:t>
      </w:r>
      <w:r w:rsidRPr="00865822">
        <w:rPr>
          <w:rStyle w:val="normaltextrun"/>
          <w:rFonts w:ascii="Times New Roman" w:hAnsi="Times New Roman" w:cs="Times New Roman"/>
          <w:sz w:val="20"/>
          <w:szCs w:val="20"/>
        </w:rPr>
        <w:t>UL beam alignment at FR2</w:t>
      </w:r>
      <w:r>
        <w:rPr>
          <w:rStyle w:val="normaltextrun"/>
          <w:rFonts w:ascii="Times New Roman" w:hAnsi="Times New Roman" w:cs="Times New Roman"/>
          <w:sz w:val="20"/>
          <w:szCs w:val="20"/>
        </w:rPr>
        <w:t xml:space="preserve"> as the agreed assumption. The number of measurements is not enough for positioning performance, because the number of DL-beam-paired UE and neighbor cells will be few in practice. </w:t>
      </w:r>
    </w:p>
    <w:p w14:paraId="645738EA" w14:textId="77777777" w:rsidR="000A4688" w:rsidRPr="007B06D2" w:rsidRDefault="000A4688" w:rsidP="000A4688">
      <w:pPr>
        <w:pStyle w:val="paragraph"/>
        <w:spacing w:before="0" w:beforeAutospacing="0" w:after="180" w:afterAutospacing="0"/>
        <w:jc w:val="both"/>
        <w:textAlignment w:val="baseline"/>
        <w:rPr>
          <w:rStyle w:val="normaltextrun"/>
          <w:rFonts w:ascii="Times New Roman" w:hAnsi="Times New Roman" w:cs="Times New Roman"/>
          <w:sz w:val="20"/>
          <w:szCs w:val="20"/>
        </w:rPr>
      </w:pPr>
      <w:r w:rsidRPr="1188D478">
        <w:rPr>
          <w:rStyle w:val="normaltextrun"/>
          <w:rFonts w:ascii="Times New Roman" w:hAnsi="Times New Roman" w:cs="Times New Roman"/>
          <w:b/>
          <w:bCs/>
          <w:sz w:val="20"/>
          <w:szCs w:val="20"/>
        </w:rPr>
        <w:t xml:space="preserve">Proposal 4 : </w:t>
      </w:r>
      <w:r w:rsidRPr="1188D478">
        <w:rPr>
          <w:rStyle w:val="normaltextrun"/>
          <w:rFonts w:ascii="Times New Roman" w:hAnsi="Times New Roman" w:cs="Times New Roman"/>
          <w:sz w:val="20"/>
          <w:szCs w:val="20"/>
        </w:rPr>
        <w:t>Consider beam sweeping mechanisms both in TX and RX sides.</w:t>
      </w:r>
    </w:p>
    <w:p w14:paraId="248E1558" w14:textId="77777777" w:rsidR="000A4688" w:rsidRPr="000A4688" w:rsidRDefault="000A4688" w:rsidP="000A4688">
      <w:pPr>
        <w:overflowPunct/>
        <w:autoSpaceDE/>
        <w:autoSpaceDN/>
        <w:adjustRightInd/>
        <w:spacing w:after="0"/>
        <w:rPr>
          <w:rFonts w:eastAsia="Times New Roman"/>
          <w:lang w:val="en-US" w:eastAsia="ko-KR"/>
        </w:rPr>
      </w:pPr>
      <w:r w:rsidRPr="000A4688">
        <w:rPr>
          <w:rFonts w:eastAsia="Times New Roman"/>
          <w:b/>
          <w:bCs/>
          <w:lang w:eastAsia="ko-KR"/>
        </w:rPr>
        <w:t>Proposal 5</w:t>
      </w:r>
      <w:r w:rsidRPr="000A4688">
        <w:rPr>
          <w:rFonts w:eastAsia="Times New Roman"/>
          <w:lang w:eastAsia="ko-KR"/>
        </w:rPr>
        <w:t>: No new reference signal will be introduced solely for UL AoA positioning. This does not preclude UL AoA positioning using a reference signal that is modified for other UL based positioning (e.g., SRS enhancement or UL PRS). </w:t>
      </w:r>
      <w:r w:rsidRPr="000A4688">
        <w:rPr>
          <w:rFonts w:eastAsia="Times New Roman"/>
          <w:lang w:val="en-US" w:eastAsia="ko-KR"/>
        </w:rPr>
        <w:t> </w:t>
      </w:r>
    </w:p>
    <w:p w14:paraId="79D58B1C" w14:textId="77777777" w:rsidR="000A4688" w:rsidRPr="000A4688" w:rsidRDefault="000A4688" w:rsidP="000A4688">
      <w:pPr>
        <w:overflowPunct/>
        <w:autoSpaceDE/>
        <w:autoSpaceDN/>
        <w:adjustRightInd/>
        <w:spacing w:after="0"/>
        <w:rPr>
          <w:rFonts w:ascii="Arial" w:eastAsia="Times New Roman" w:hAnsi="Arial" w:cs="Arial"/>
          <w:lang w:val="en-US" w:eastAsia="ko-KR"/>
        </w:rPr>
      </w:pPr>
    </w:p>
    <w:p w14:paraId="1046AF94" w14:textId="77777777" w:rsidR="000A4688" w:rsidRPr="000A4688" w:rsidRDefault="000A4688" w:rsidP="000A4688">
      <w:pPr>
        <w:overflowPunct/>
        <w:autoSpaceDE/>
        <w:autoSpaceDN/>
        <w:adjustRightInd/>
        <w:spacing w:after="0"/>
        <w:rPr>
          <w:rFonts w:eastAsia="Times New Roman"/>
          <w:lang w:val="en-US" w:eastAsia="ko-KR"/>
        </w:rPr>
      </w:pPr>
      <w:r w:rsidRPr="000A4688">
        <w:rPr>
          <w:rFonts w:eastAsia="Times New Roman"/>
          <w:b/>
          <w:bCs/>
          <w:lang w:eastAsia="ko-KR"/>
        </w:rPr>
        <w:t>Proposal 6</w:t>
      </w:r>
      <w:r w:rsidRPr="000A4688">
        <w:rPr>
          <w:rFonts w:eastAsia="Times New Roman"/>
          <w:lang w:eastAsia="ko-KR"/>
        </w:rPr>
        <w:t>: RAN1 NR reference signal enhancements and/or design for UL positioning should prioritize the requirements and impacts for UTDOA.</w:t>
      </w:r>
      <w:r w:rsidRPr="000A4688">
        <w:rPr>
          <w:rFonts w:eastAsia="Times New Roman"/>
          <w:lang w:val="en-US" w:eastAsia="ko-KR"/>
        </w:rPr>
        <w:t> </w:t>
      </w:r>
    </w:p>
    <w:p w14:paraId="1EA100EC" w14:textId="77777777" w:rsidR="0092522E" w:rsidRPr="000A4688" w:rsidRDefault="0092522E" w:rsidP="0092522E">
      <w:pPr>
        <w:overflowPunct/>
        <w:autoSpaceDE/>
        <w:autoSpaceDN/>
        <w:adjustRightInd/>
        <w:spacing w:after="0"/>
        <w:rPr>
          <w:rFonts w:eastAsia="Times New Roman"/>
          <w:lang w:val="en-US" w:eastAsia="ko-KR"/>
        </w:rPr>
      </w:pPr>
    </w:p>
    <w:p w14:paraId="2E52A3BF" w14:textId="77777777" w:rsidR="000A4688" w:rsidRPr="000A4688" w:rsidRDefault="000A4688" w:rsidP="000A4688">
      <w:pPr>
        <w:overflowPunct/>
        <w:autoSpaceDE/>
        <w:autoSpaceDN/>
        <w:adjustRightInd/>
        <w:spacing w:after="0"/>
        <w:rPr>
          <w:rFonts w:eastAsia="Times New Roman"/>
          <w:lang w:val="en-US" w:eastAsia="ko-KR"/>
        </w:rPr>
      </w:pPr>
      <w:r w:rsidRPr="000A4688">
        <w:rPr>
          <w:rFonts w:eastAsia="Times New Roman"/>
          <w:b/>
          <w:bCs/>
          <w:lang w:eastAsia="ko-KR"/>
        </w:rPr>
        <w:t>Observation 4</w:t>
      </w:r>
      <w:r w:rsidRPr="000A4688">
        <w:rPr>
          <w:rFonts w:eastAsia="Times New Roman"/>
          <w:lang w:eastAsia="ko-KR"/>
        </w:rPr>
        <w:t>: Interference impacts on UL AoA should be considered when determining the UL reference signal discussion. </w:t>
      </w:r>
      <w:r w:rsidRPr="000A4688">
        <w:rPr>
          <w:rFonts w:eastAsia="Times New Roman"/>
          <w:lang w:val="en-US" w:eastAsia="ko-KR"/>
        </w:rPr>
        <w:t> </w:t>
      </w:r>
    </w:p>
    <w:p w14:paraId="4C97FF5B" w14:textId="77777777" w:rsidR="0092522E" w:rsidRPr="000A4688" w:rsidRDefault="0092522E" w:rsidP="0092522E">
      <w:pPr>
        <w:overflowPunct/>
        <w:autoSpaceDE/>
        <w:autoSpaceDN/>
        <w:adjustRightInd/>
        <w:spacing w:after="0"/>
        <w:rPr>
          <w:rFonts w:eastAsia="Times New Roman"/>
          <w:b/>
          <w:bCs/>
          <w:lang w:eastAsia="ko-KR"/>
        </w:rPr>
      </w:pPr>
    </w:p>
    <w:p w14:paraId="4C9A2530" w14:textId="1BA0F46D" w:rsidR="0092522E" w:rsidRPr="0092522E" w:rsidRDefault="000A4688" w:rsidP="0092522E">
      <w:r w:rsidRPr="000A4688">
        <w:rPr>
          <w:rFonts w:eastAsia="Times New Roman"/>
          <w:b/>
          <w:bCs/>
          <w:lang w:eastAsia="ko-KR"/>
        </w:rPr>
        <w:t>Observation 5</w:t>
      </w:r>
      <w:r w:rsidRPr="000A4688">
        <w:rPr>
          <w:rFonts w:eastAsia="Times New Roman"/>
          <w:lang w:eastAsia="ko-KR"/>
        </w:rPr>
        <w:t>: At FR2 the hearability in the UL may negatively impact the performance of UL AoA positioning.  </w:t>
      </w:r>
    </w:p>
    <w:p w14:paraId="53CD9119" w14:textId="77777777" w:rsidR="00885580" w:rsidRPr="00ED1327" w:rsidRDefault="00885580" w:rsidP="008028D8">
      <w:pPr>
        <w:pStyle w:val="Heading1"/>
        <w:numPr>
          <w:ilvl w:val="0"/>
          <w:numId w:val="0"/>
        </w:numPr>
        <w:jc w:val="both"/>
      </w:pPr>
      <w:r>
        <w:t>References</w:t>
      </w:r>
    </w:p>
    <w:p w14:paraId="42585CD1" w14:textId="1E4F4BED" w:rsidR="00366C1B" w:rsidRPr="00CE20CA" w:rsidRDefault="00E42B0A" w:rsidP="008028D8">
      <w:pPr>
        <w:pStyle w:val="ListParagraph"/>
        <w:numPr>
          <w:ilvl w:val="0"/>
          <w:numId w:val="12"/>
        </w:numPr>
        <w:jc w:val="both"/>
        <w:rPr>
          <w:sz w:val="20"/>
          <w:szCs w:val="20"/>
          <w:lang w:val="en-US"/>
        </w:rPr>
      </w:pPr>
      <w:r w:rsidRPr="00CE20CA">
        <w:rPr>
          <w:sz w:val="20"/>
          <w:szCs w:val="20"/>
          <w:lang w:val="en-US"/>
        </w:rPr>
        <w:t>RP-182155, “Revised SID: Study on NR positioning support”, 3GPP RAN#81, Gold Coast, Australia, September 10-13, 2018.</w:t>
      </w:r>
    </w:p>
    <w:p w14:paraId="01DF402D" w14:textId="77777777" w:rsidR="005F2948" w:rsidRPr="00CE20CA" w:rsidRDefault="000A60C0" w:rsidP="005F2948">
      <w:pPr>
        <w:pStyle w:val="ListParagraph"/>
        <w:numPr>
          <w:ilvl w:val="0"/>
          <w:numId w:val="12"/>
        </w:numPr>
        <w:jc w:val="both"/>
        <w:rPr>
          <w:sz w:val="20"/>
          <w:szCs w:val="20"/>
          <w:lang w:val="en-US"/>
        </w:rPr>
      </w:pPr>
      <w:r w:rsidRPr="00CE20CA">
        <w:rPr>
          <w:sz w:val="20"/>
          <w:szCs w:val="20"/>
          <w:lang w:val="en-US"/>
        </w:rPr>
        <w:t>R1-1901023,</w:t>
      </w:r>
      <w:r w:rsidRPr="00CE20CA">
        <w:rPr>
          <w:sz w:val="20"/>
          <w:szCs w:val="20"/>
          <w:lang w:val="en-US"/>
        </w:rPr>
        <w:tab/>
        <w:t xml:space="preserve"> “Potential Positioning Techniques - UL based solutions</w:t>
      </w:r>
      <w:r w:rsidRPr="00CE20CA">
        <w:rPr>
          <w:sz w:val="20"/>
          <w:szCs w:val="20"/>
          <w:lang w:val="en-US"/>
        </w:rPr>
        <w:tab/>
        <w:t>Nokia,</w:t>
      </w:r>
      <w:r w:rsidR="005F2948" w:rsidRPr="00CE20CA">
        <w:rPr>
          <w:sz w:val="20"/>
          <w:szCs w:val="20"/>
          <w:lang w:val="en-US"/>
        </w:rPr>
        <w:t>”</w:t>
      </w:r>
      <w:r w:rsidRPr="00CE20CA">
        <w:rPr>
          <w:sz w:val="20"/>
          <w:szCs w:val="20"/>
          <w:lang w:val="en-US"/>
        </w:rPr>
        <w:t xml:space="preserve"> Nokia Shanghai Bell</w:t>
      </w:r>
      <w:r w:rsidR="005F2948" w:rsidRPr="00CE20CA">
        <w:rPr>
          <w:sz w:val="20"/>
          <w:szCs w:val="20"/>
          <w:lang w:val="en-US"/>
        </w:rPr>
        <w:t>, RAN1#Ad-Hoc 1901, Taipei, Taiwan, 21~25, 2019.</w:t>
      </w:r>
    </w:p>
    <w:p w14:paraId="43CA87F6" w14:textId="4488C2C2" w:rsidR="000A60C0" w:rsidRPr="00CE20CA" w:rsidRDefault="000A60C0" w:rsidP="000A60C0">
      <w:pPr>
        <w:pStyle w:val="ListParagraph"/>
        <w:numPr>
          <w:ilvl w:val="0"/>
          <w:numId w:val="12"/>
        </w:numPr>
        <w:jc w:val="both"/>
        <w:rPr>
          <w:sz w:val="20"/>
          <w:szCs w:val="20"/>
          <w:lang w:val="en-US"/>
        </w:rPr>
      </w:pPr>
      <w:r w:rsidRPr="00CE20CA">
        <w:rPr>
          <w:sz w:val="20"/>
          <w:szCs w:val="20"/>
          <w:lang w:val="en-US"/>
        </w:rPr>
        <w:t xml:space="preserve">Chairmen’s Notes, </w:t>
      </w:r>
      <w:bookmarkStart w:id="3" w:name="_Hlk441696"/>
      <w:r w:rsidRPr="00CE20CA">
        <w:rPr>
          <w:sz w:val="20"/>
          <w:szCs w:val="20"/>
          <w:lang w:val="en-US"/>
        </w:rPr>
        <w:t>RAN1#Ad-Hoc 1901, Taipei, Taiwan, 21~25, 2019.</w:t>
      </w:r>
    </w:p>
    <w:bookmarkEnd w:id="3"/>
    <w:p w14:paraId="7AB1311C" w14:textId="5AB435C9" w:rsidR="00BD664F" w:rsidRPr="00CE20CA" w:rsidRDefault="00BD664F" w:rsidP="471A8AD5">
      <w:pPr>
        <w:pStyle w:val="ListParagraph"/>
        <w:numPr>
          <w:ilvl w:val="0"/>
          <w:numId w:val="12"/>
        </w:numPr>
        <w:jc w:val="both"/>
        <w:rPr>
          <w:sz w:val="20"/>
          <w:szCs w:val="20"/>
          <w:lang w:val="en-US"/>
        </w:rPr>
      </w:pPr>
      <w:r w:rsidRPr="00CE20CA">
        <w:rPr>
          <w:sz w:val="20"/>
          <w:szCs w:val="20"/>
          <w:lang w:val="en-US"/>
        </w:rPr>
        <w:t xml:space="preserve">R1-1900915 </w:t>
      </w:r>
      <w:r w:rsidRPr="00CE20CA">
        <w:rPr>
          <w:sz w:val="20"/>
          <w:szCs w:val="20"/>
          <w:lang w:val="en-US"/>
        </w:rPr>
        <w:tab/>
      </w:r>
      <w:r w:rsidR="00D93CA4" w:rsidRPr="00CE20CA">
        <w:rPr>
          <w:sz w:val="20"/>
          <w:szCs w:val="20"/>
          <w:lang w:val="en-US"/>
        </w:rPr>
        <w:t>“</w:t>
      </w:r>
      <w:r w:rsidRPr="00CE20CA">
        <w:rPr>
          <w:sz w:val="20"/>
          <w:szCs w:val="20"/>
          <w:lang w:val="en-US"/>
        </w:rPr>
        <w:t>RAT-dependent UL-only NR positioning techniques</w:t>
      </w:r>
      <w:r w:rsidR="00D93CA4" w:rsidRPr="00CE20CA">
        <w:rPr>
          <w:sz w:val="20"/>
          <w:szCs w:val="20"/>
          <w:lang w:val="en-US"/>
        </w:rPr>
        <w:t xml:space="preserve">,” </w:t>
      </w:r>
      <w:r w:rsidRPr="00CE20CA">
        <w:rPr>
          <w:sz w:val="20"/>
          <w:szCs w:val="20"/>
          <w:lang w:val="en-US"/>
        </w:rPr>
        <w:tab/>
        <w:t>Qualcomm Incorporated, RAN1#Ad-Hoc 1901, Taipei, Taiwan, 21~25, 2019.</w:t>
      </w:r>
    </w:p>
    <w:p w14:paraId="06C6B1F4" w14:textId="24AE6669" w:rsidR="00BD664F" w:rsidRPr="00CE20CA" w:rsidRDefault="00BD664F" w:rsidP="471A8AD5">
      <w:pPr>
        <w:pStyle w:val="ListParagraph"/>
        <w:numPr>
          <w:ilvl w:val="0"/>
          <w:numId w:val="12"/>
        </w:numPr>
        <w:jc w:val="both"/>
        <w:rPr>
          <w:sz w:val="20"/>
          <w:szCs w:val="20"/>
          <w:lang w:val="en-US"/>
        </w:rPr>
      </w:pPr>
      <w:r w:rsidRPr="00CE20CA">
        <w:rPr>
          <w:sz w:val="20"/>
          <w:szCs w:val="20"/>
          <w:lang w:val="en-US"/>
        </w:rPr>
        <w:t xml:space="preserve">R1-1900037 </w:t>
      </w:r>
      <w:r w:rsidRPr="00CE20CA">
        <w:rPr>
          <w:sz w:val="20"/>
          <w:szCs w:val="20"/>
          <w:lang w:val="en-US"/>
        </w:rPr>
        <w:tab/>
      </w:r>
      <w:r w:rsidR="00D93CA4" w:rsidRPr="00CE20CA">
        <w:rPr>
          <w:sz w:val="20"/>
          <w:szCs w:val="20"/>
          <w:lang w:val="en-US"/>
        </w:rPr>
        <w:t>“</w:t>
      </w:r>
      <w:r w:rsidRPr="00CE20CA">
        <w:rPr>
          <w:sz w:val="20"/>
          <w:szCs w:val="20"/>
          <w:lang w:val="en-US"/>
        </w:rPr>
        <w:t>Uplink based solutions for NR positioning</w:t>
      </w:r>
      <w:r w:rsidR="00D93CA4" w:rsidRPr="00CE20CA">
        <w:rPr>
          <w:sz w:val="20"/>
          <w:szCs w:val="20"/>
          <w:lang w:val="en-US"/>
        </w:rPr>
        <w:t xml:space="preserve">,” </w:t>
      </w:r>
      <w:r w:rsidRPr="00CE20CA">
        <w:rPr>
          <w:sz w:val="20"/>
          <w:szCs w:val="20"/>
          <w:lang w:val="en-US"/>
        </w:rPr>
        <w:tab/>
        <w:t>Huawei, HiSilicon</w:t>
      </w:r>
      <w:r w:rsidR="00D93CA4" w:rsidRPr="00CE20CA">
        <w:rPr>
          <w:sz w:val="20"/>
          <w:szCs w:val="20"/>
          <w:lang w:val="en-US"/>
        </w:rPr>
        <w:t>, RAN1#Ad-Hoc 1901, Taipei, Taiwan, 21~25, 2019.</w:t>
      </w:r>
    </w:p>
    <w:p w14:paraId="0FA5856E" w14:textId="6EA49A38" w:rsidR="00BD664F" w:rsidRPr="00CE20CA" w:rsidRDefault="00BD664F" w:rsidP="471A8AD5">
      <w:pPr>
        <w:pStyle w:val="ListParagraph"/>
        <w:numPr>
          <w:ilvl w:val="0"/>
          <w:numId w:val="12"/>
        </w:numPr>
        <w:jc w:val="both"/>
        <w:rPr>
          <w:sz w:val="20"/>
          <w:szCs w:val="20"/>
          <w:lang w:val="en-US"/>
        </w:rPr>
      </w:pPr>
      <w:r w:rsidRPr="00CE20CA">
        <w:rPr>
          <w:sz w:val="20"/>
          <w:szCs w:val="20"/>
          <w:lang w:val="en-US"/>
        </w:rPr>
        <w:t xml:space="preserve">R1-1900150 </w:t>
      </w:r>
      <w:r w:rsidRPr="00CE20CA">
        <w:rPr>
          <w:sz w:val="20"/>
          <w:szCs w:val="20"/>
          <w:lang w:val="en-US"/>
        </w:rPr>
        <w:tab/>
      </w:r>
      <w:r w:rsidR="00D93CA4" w:rsidRPr="00CE20CA">
        <w:rPr>
          <w:sz w:val="20"/>
          <w:szCs w:val="20"/>
          <w:lang w:val="en-US"/>
        </w:rPr>
        <w:t>“</w:t>
      </w:r>
      <w:r w:rsidRPr="00CE20CA">
        <w:rPr>
          <w:sz w:val="20"/>
          <w:szCs w:val="20"/>
          <w:lang w:val="en-US"/>
        </w:rPr>
        <w:t>Views on NR uplink positioning techniques</w:t>
      </w:r>
      <w:r w:rsidR="00D93CA4" w:rsidRPr="00CE20CA">
        <w:rPr>
          <w:sz w:val="20"/>
          <w:szCs w:val="20"/>
          <w:lang w:val="en-US"/>
        </w:rPr>
        <w:t xml:space="preserve">,” </w:t>
      </w:r>
      <w:r w:rsidRPr="00CE20CA">
        <w:rPr>
          <w:sz w:val="20"/>
          <w:szCs w:val="20"/>
          <w:lang w:val="en-US"/>
        </w:rPr>
        <w:tab/>
        <w:t>vivo</w:t>
      </w:r>
      <w:r w:rsidR="00D93CA4" w:rsidRPr="00CE20CA">
        <w:rPr>
          <w:sz w:val="20"/>
          <w:szCs w:val="20"/>
          <w:lang w:val="en-US"/>
        </w:rPr>
        <w:t>, RAN1#Ad-Hoc 1901, Taipei, Taiwan, 21~25, 2019.</w:t>
      </w:r>
    </w:p>
    <w:p w14:paraId="2F010AA7" w14:textId="4D52B7A5" w:rsidR="00BD664F" w:rsidRDefault="00BD664F" w:rsidP="471A8AD5">
      <w:pPr>
        <w:pStyle w:val="ListParagraph"/>
        <w:numPr>
          <w:ilvl w:val="0"/>
          <w:numId w:val="12"/>
        </w:numPr>
        <w:jc w:val="both"/>
        <w:rPr>
          <w:sz w:val="20"/>
          <w:szCs w:val="20"/>
          <w:lang w:val="en-US"/>
        </w:rPr>
      </w:pPr>
      <w:r w:rsidRPr="00CE20CA">
        <w:rPr>
          <w:sz w:val="20"/>
          <w:szCs w:val="20"/>
          <w:lang w:val="en-US"/>
        </w:rPr>
        <w:t>R1-1901196 “</w:t>
      </w:r>
      <w:r w:rsidRPr="00CE20CA">
        <w:rPr>
          <w:sz w:val="20"/>
          <w:szCs w:val="20"/>
          <w:lang w:val="en-US"/>
        </w:rPr>
        <w:tab/>
        <w:t xml:space="preserve">UL Positioning Solutions,”  </w:t>
      </w:r>
      <w:r w:rsidRPr="00CE20CA">
        <w:rPr>
          <w:sz w:val="20"/>
          <w:szCs w:val="20"/>
          <w:lang w:val="en-US"/>
        </w:rPr>
        <w:tab/>
        <w:t>Ericsson</w:t>
      </w:r>
      <w:r w:rsidR="00D93CA4" w:rsidRPr="00CE20CA">
        <w:rPr>
          <w:sz w:val="20"/>
          <w:szCs w:val="20"/>
          <w:lang w:val="en-US"/>
        </w:rPr>
        <w:t>, RAN1#Ad-Hoc 1901, Taipei, Taiwan, 21~25, 2019.</w:t>
      </w:r>
    </w:p>
    <w:p w14:paraId="5B14A74F" w14:textId="28A4A754" w:rsidR="000A4688" w:rsidRPr="00DB7FCD" w:rsidRDefault="000A4688" w:rsidP="000A4688">
      <w:pPr>
        <w:pStyle w:val="ListParagraph"/>
        <w:numPr>
          <w:ilvl w:val="0"/>
          <w:numId w:val="12"/>
        </w:numPr>
        <w:jc w:val="both"/>
        <w:rPr>
          <w:sz w:val="20"/>
          <w:szCs w:val="20"/>
          <w:lang w:val="en-US"/>
        </w:rPr>
      </w:pPr>
      <w:r w:rsidRPr="00DB7FCD">
        <w:rPr>
          <w:sz w:val="20"/>
          <w:szCs w:val="20"/>
          <w:lang w:val="en-US"/>
        </w:rPr>
        <w:t>R1-190</w:t>
      </w:r>
      <w:r>
        <w:rPr>
          <w:sz w:val="20"/>
          <w:szCs w:val="20"/>
          <w:lang w:val="en-US"/>
        </w:rPr>
        <w:t>1847</w:t>
      </w:r>
      <w:r w:rsidRPr="00DB7FCD">
        <w:rPr>
          <w:sz w:val="20"/>
          <w:szCs w:val="20"/>
          <w:lang w:val="en-US"/>
        </w:rPr>
        <w:t>, “</w:t>
      </w:r>
      <w:r>
        <w:rPr>
          <w:sz w:val="20"/>
          <w:szCs w:val="20"/>
          <w:lang w:val="en-US"/>
        </w:rPr>
        <w:t>D</w:t>
      </w:r>
      <w:r w:rsidRPr="00DB7FCD">
        <w:rPr>
          <w:sz w:val="20"/>
          <w:szCs w:val="20"/>
          <w:lang w:val="en-US"/>
        </w:rPr>
        <w:t>L based NR Positioning”, Nokia, Nokia Shanghai Bell</w:t>
      </w:r>
    </w:p>
    <w:p w14:paraId="795C0ABB" w14:textId="426379CF" w:rsidR="000A4688" w:rsidRPr="00CE20CA" w:rsidRDefault="000A4688" w:rsidP="000A4688">
      <w:pPr>
        <w:pStyle w:val="ListParagraph"/>
        <w:numPr>
          <w:ilvl w:val="0"/>
          <w:numId w:val="12"/>
        </w:numPr>
        <w:jc w:val="both"/>
        <w:rPr>
          <w:sz w:val="20"/>
          <w:szCs w:val="20"/>
          <w:lang w:val="en-US"/>
        </w:rPr>
      </w:pPr>
      <w:r w:rsidRPr="00DB7FCD">
        <w:rPr>
          <w:sz w:val="20"/>
          <w:szCs w:val="20"/>
          <w:lang w:val="en-US"/>
        </w:rPr>
        <w:t>R1-1901849, “DL and UL based NR Positioning”, Nokia, Nokia Shanghai Bell</w:t>
      </w:r>
    </w:p>
    <w:p w14:paraId="632075BF" w14:textId="35696B4F" w:rsidR="000A60C0" w:rsidRDefault="000A60C0" w:rsidP="000A60C0">
      <w:pPr>
        <w:jc w:val="both"/>
        <w:rPr>
          <w:lang w:val="en-US"/>
        </w:rPr>
      </w:pPr>
    </w:p>
    <w:sectPr w:rsidR="000A60C0" w:rsidSect="00BE3B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D49C2" w14:textId="77777777" w:rsidR="00D76C95" w:rsidRDefault="00D76C95">
      <w:r>
        <w:separator/>
      </w:r>
    </w:p>
  </w:endnote>
  <w:endnote w:type="continuationSeparator" w:id="0">
    <w:p w14:paraId="33667137" w14:textId="77777777" w:rsidR="00D76C95" w:rsidRDefault="00D76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730D" w14:textId="77777777" w:rsidR="00D76C95" w:rsidRDefault="00D76C95">
      <w:r>
        <w:separator/>
      </w:r>
    </w:p>
  </w:footnote>
  <w:footnote w:type="continuationSeparator" w:id="0">
    <w:p w14:paraId="324C3089" w14:textId="77777777" w:rsidR="00D76C95" w:rsidRDefault="00D76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C20728"/>
    <w:multiLevelType w:val="hybridMultilevel"/>
    <w:tmpl w:val="80A48B54"/>
    <w:lvl w:ilvl="0" w:tplc="B2A6FD30">
      <w:numFmt w:val="bullet"/>
      <w:lvlText w:val="-"/>
      <w:lvlJc w:val="left"/>
      <w:pPr>
        <w:ind w:left="930" w:hanging="360"/>
      </w:pPr>
      <w:rPr>
        <w:rFonts w:ascii="Segoe UI" w:eastAsia="SimSu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36834"/>
    <w:multiLevelType w:val="hybridMultilevel"/>
    <w:tmpl w:val="A9222642"/>
    <w:lvl w:ilvl="0" w:tplc="B2A6FD30">
      <w:numFmt w:val="bullet"/>
      <w:lvlText w:val="-"/>
      <w:lvlJc w:val="left"/>
      <w:pPr>
        <w:ind w:left="930" w:hanging="360"/>
      </w:pPr>
      <w:rPr>
        <w:rFonts w:ascii="Segoe UI" w:eastAsia="SimSu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start w:val="1"/>
      <w:numFmt w:val="bullet"/>
      <w:lvlText w:val="o"/>
      <w:lvlJc w:val="left"/>
      <w:pPr>
        <w:ind w:left="1638" w:hanging="360"/>
      </w:pPr>
      <w:rPr>
        <w:rFonts w:ascii="Courier New" w:hAnsi="Courier New" w:cs="Courier New" w:hint="default"/>
      </w:rPr>
    </w:lvl>
    <w:lvl w:ilvl="2" w:tplc="04070005">
      <w:start w:val="1"/>
      <w:numFmt w:val="bullet"/>
      <w:lvlText w:val=""/>
      <w:lvlJc w:val="left"/>
      <w:pPr>
        <w:ind w:left="2358" w:hanging="360"/>
      </w:pPr>
      <w:rPr>
        <w:rFonts w:ascii="Wingdings" w:hAnsi="Wingdings" w:hint="default"/>
      </w:rPr>
    </w:lvl>
    <w:lvl w:ilvl="3" w:tplc="04070001">
      <w:start w:val="1"/>
      <w:numFmt w:val="bullet"/>
      <w:lvlText w:val=""/>
      <w:lvlJc w:val="left"/>
      <w:pPr>
        <w:ind w:left="3078" w:hanging="360"/>
      </w:pPr>
      <w:rPr>
        <w:rFonts w:ascii="Symbol" w:hAnsi="Symbol" w:hint="default"/>
      </w:rPr>
    </w:lvl>
    <w:lvl w:ilvl="4" w:tplc="04070003">
      <w:start w:val="1"/>
      <w:numFmt w:val="bullet"/>
      <w:lvlText w:val="o"/>
      <w:lvlJc w:val="left"/>
      <w:pPr>
        <w:ind w:left="3798" w:hanging="360"/>
      </w:pPr>
      <w:rPr>
        <w:rFonts w:ascii="Courier New" w:hAnsi="Courier New" w:cs="Courier New" w:hint="default"/>
      </w:rPr>
    </w:lvl>
    <w:lvl w:ilvl="5" w:tplc="04070005">
      <w:start w:val="1"/>
      <w:numFmt w:val="bullet"/>
      <w:lvlText w:val=""/>
      <w:lvlJc w:val="left"/>
      <w:pPr>
        <w:ind w:left="4518" w:hanging="360"/>
      </w:pPr>
      <w:rPr>
        <w:rFonts w:ascii="Wingdings" w:hAnsi="Wingdings" w:hint="default"/>
      </w:rPr>
    </w:lvl>
    <w:lvl w:ilvl="6" w:tplc="04070001">
      <w:start w:val="1"/>
      <w:numFmt w:val="bullet"/>
      <w:lvlText w:val=""/>
      <w:lvlJc w:val="left"/>
      <w:pPr>
        <w:ind w:left="5238" w:hanging="360"/>
      </w:pPr>
      <w:rPr>
        <w:rFonts w:ascii="Symbol" w:hAnsi="Symbol" w:hint="default"/>
      </w:rPr>
    </w:lvl>
    <w:lvl w:ilvl="7" w:tplc="04070003">
      <w:start w:val="1"/>
      <w:numFmt w:val="bullet"/>
      <w:lvlText w:val="o"/>
      <w:lvlJc w:val="left"/>
      <w:pPr>
        <w:ind w:left="5958" w:hanging="360"/>
      </w:pPr>
      <w:rPr>
        <w:rFonts w:ascii="Courier New" w:hAnsi="Courier New" w:cs="Courier New" w:hint="default"/>
      </w:rPr>
    </w:lvl>
    <w:lvl w:ilvl="8" w:tplc="04070005">
      <w:start w:val="1"/>
      <w:numFmt w:val="bullet"/>
      <w:lvlText w:val=""/>
      <w:lvlJc w:val="left"/>
      <w:pPr>
        <w:ind w:left="6678" w:hanging="36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F6DCB"/>
    <w:multiLevelType w:val="multilevel"/>
    <w:tmpl w:val="C514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6923DD"/>
    <w:multiLevelType w:val="multilevel"/>
    <w:tmpl w:val="12E076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E276E3"/>
    <w:multiLevelType w:val="multilevel"/>
    <w:tmpl w:val="850C8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AB0878"/>
    <w:multiLevelType w:val="multilevel"/>
    <w:tmpl w:val="384C4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4D4475"/>
    <w:multiLevelType w:val="hybridMultilevel"/>
    <w:tmpl w:val="DA86FA9A"/>
    <w:lvl w:ilvl="0" w:tplc="B2A6FD30">
      <w:numFmt w:val="bullet"/>
      <w:lvlText w:val="-"/>
      <w:lvlJc w:val="left"/>
      <w:pPr>
        <w:ind w:left="930" w:hanging="360"/>
      </w:pPr>
      <w:rPr>
        <w:rFonts w:ascii="Segoe UI" w:eastAsia="SimSun" w:hAnsi="Segoe UI" w:cs="Segoe UI"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B65865"/>
    <w:multiLevelType w:val="multilevel"/>
    <w:tmpl w:val="BA0623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0937B3"/>
    <w:multiLevelType w:val="multilevel"/>
    <w:tmpl w:val="1E9CA4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1273A5"/>
    <w:multiLevelType w:val="multilevel"/>
    <w:tmpl w:val="8C9A70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7E7FAC"/>
    <w:multiLevelType w:val="multilevel"/>
    <w:tmpl w:val="9138BE32"/>
    <w:lvl w:ilvl="0">
      <w:start w:val="2"/>
      <w:numFmt w:val="decimal"/>
      <w:lvlText w:val="%1."/>
      <w:lvlJc w:val="left"/>
      <w:pPr>
        <w:tabs>
          <w:tab w:val="num" w:pos="1004"/>
        </w:tabs>
        <w:ind w:left="1004" w:hanging="360"/>
      </w:p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32"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0"/>
  </w:num>
  <w:num w:numId="4">
    <w:abstractNumId w:val="3"/>
  </w:num>
  <w:num w:numId="5">
    <w:abstractNumId w:val="16"/>
  </w:num>
  <w:num w:numId="6">
    <w:abstractNumId w:val="29"/>
  </w:num>
  <w:num w:numId="7">
    <w:abstractNumId w:val="18"/>
  </w:num>
  <w:num w:numId="8">
    <w:abstractNumId w:val="15"/>
  </w:num>
  <w:num w:numId="9">
    <w:abstractNumId w:val="33"/>
  </w:num>
  <w:num w:numId="10">
    <w:abstractNumId w:val="5"/>
  </w:num>
  <w:num w:numId="11">
    <w:abstractNumId w:val="21"/>
  </w:num>
  <w:num w:numId="12">
    <w:abstractNumId w:val="4"/>
  </w:num>
  <w:num w:numId="13">
    <w:abstractNumId w:val="12"/>
  </w:num>
  <w:num w:numId="14">
    <w:abstractNumId w:val="23"/>
  </w:num>
  <w:num w:numId="15">
    <w:abstractNumId w:val="17"/>
  </w:num>
  <w:num w:numId="16">
    <w:abstractNumId w:val="19"/>
  </w:num>
  <w:num w:numId="17">
    <w:abstractNumId w:val="2"/>
  </w:num>
  <w:num w:numId="18">
    <w:abstractNumId w:val="32"/>
  </w:num>
  <w:num w:numId="19">
    <w:abstractNumId w:val="25"/>
  </w:num>
  <w:num w:numId="20">
    <w:abstractNumId w:val="14"/>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1"/>
  </w:num>
  <w:num w:numId="25">
    <w:abstractNumId w:val="26"/>
  </w:num>
  <w:num w:numId="26">
    <w:abstractNumId w:val="10"/>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2"/>
  </w:num>
  <w:num w:numId="37">
    <w:abstractNumId w:val="9"/>
  </w:num>
  <w:num w:numId="38">
    <w:abstractNumId w:val="27"/>
  </w:num>
  <w:num w:numId="39">
    <w:abstractNumId w:val="20"/>
  </w:num>
  <w:num w:numId="40">
    <w:abstractNumId w:val="24"/>
  </w:num>
  <w:num w:numId="41">
    <w:abstractNumId w:val="1"/>
  </w:num>
  <w:num w:numId="42">
    <w:abstractNumId w:val="6"/>
  </w:num>
  <w:num w:numId="43">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8"/>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11"/>
    <w:rsid w:val="00015F98"/>
    <w:rsid w:val="000166AC"/>
    <w:rsid w:val="00017B7F"/>
    <w:rsid w:val="00017EDA"/>
    <w:rsid w:val="000212A5"/>
    <w:rsid w:val="0002228E"/>
    <w:rsid w:val="00022B8C"/>
    <w:rsid w:val="00023742"/>
    <w:rsid w:val="00024AEF"/>
    <w:rsid w:val="00026C65"/>
    <w:rsid w:val="00027755"/>
    <w:rsid w:val="00027864"/>
    <w:rsid w:val="0002789E"/>
    <w:rsid w:val="00030048"/>
    <w:rsid w:val="0003072D"/>
    <w:rsid w:val="000314CD"/>
    <w:rsid w:val="0003332B"/>
    <w:rsid w:val="00033544"/>
    <w:rsid w:val="0003479E"/>
    <w:rsid w:val="00035642"/>
    <w:rsid w:val="00035691"/>
    <w:rsid w:val="0003767C"/>
    <w:rsid w:val="000377BA"/>
    <w:rsid w:val="00037B90"/>
    <w:rsid w:val="00037D75"/>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929"/>
    <w:rsid w:val="00084A65"/>
    <w:rsid w:val="0008559A"/>
    <w:rsid w:val="000902C2"/>
    <w:rsid w:val="0009140B"/>
    <w:rsid w:val="00091A92"/>
    <w:rsid w:val="00093C49"/>
    <w:rsid w:val="00095A80"/>
    <w:rsid w:val="000973E1"/>
    <w:rsid w:val="000A1402"/>
    <w:rsid w:val="000A16C6"/>
    <w:rsid w:val="000A20BA"/>
    <w:rsid w:val="000A262C"/>
    <w:rsid w:val="000A3C8D"/>
    <w:rsid w:val="000A3DFE"/>
    <w:rsid w:val="000A40EC"/>
    <w:rsid w:val="000A4688"/>
    <w:rsid w:val="000A54EE"/>
    <w:rsid w:val="000A60C0"/>
    <w:rsid w:val="000A6A23"/>
    <w:rsid w:val="000A7BC5"/>
    <w:rsid w:val="000B0C45"/>
    <w:rsid w:val="000B13E1"/>
    <w:rsid w:val="000B16DB"/>
    <w:rsid w:val="000B1C5E"/>
    <w:rsid w:val="000B2282"/>
    <w:rsid w:val="000B27E9"/>
    <w:rsid w:val="000B2A11"/>
    <w:rsid w:val="000B2A5B"/>
    <w:rsid w:val="000B3B91"/>
    <w:rsid w:val="000B3E52"/>
    <w:rsid w:val="000B4207"/>
    <w:rsid w:val="000B4B1B"/>
    <w:rsid w:val="000B50C3"/>
    <w:rsid w:val="000B5AC9"/>
    <w:rsid w:val="000B5F0A"/>
    <w:rsid w:val="000B6D65"/>
    <w:rsid w:val="000C1D59"/>
    <w:rsid w:val="000C2899"/>
    <w:rsid w:val="000C2B09"/>
    <w:rsid w:val="000C3026"/>
    <w:rsid w:val="000C30CF"/>
    <w:rsid w:val="000C501D"/>
    <w:rsid w:val="000C5CBA"/>
    <w:rsid w:val="000C71A3"/>
    <w:rsid w:val="000C74BA"/>
    <w:rsid w:val="000C7531"/>
    <w:rsid w:val="000C7BA7"/>
    <w:rsid w:val="000C7C3F"/>
    <w:rsid w:val="000D0BD6"/>
    <w:rsid w:val="000D0C61"/>
    <w:rsid w:val="000D1440"/>
    <w:rsid w:val="000D27AD"/>
    <w:rsid w:val="000D29D1"/>
    <w:rsid w:val="000D2B0A"/>
    <w:rsid w:val="000D3286"/>
    <w:rsid w:val="000D344D"/>
    <w:rsid w:val="000D3B6E"/>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0B60"/>
    <w:rsid w:val="000F15B2"/>
    <w:rsid w:val="000F19DE"/>
    <w:rsid w:val="000F2E1F"/>
    <w:rsid w:val="000F37B0"/>
    <w:rsid w:val="000F3940"/>
    <w:rsid w:val="000F4595"/>
    <w:rsid w:val="000F4CB2"/>
    <w:rsid w:val="000F4E44"/>
    <w:rsid w:val="000F4E90"/>
    <w:rsid w:val="000F568D"/>
    <w:rsid w:val="000F68D0"/>
    <w:rsid w:val="000F6B15"/>
    <w:rsid w:val="0010170B"/>
    <w:rsid w:val="00101C4F"/>
    <w:rsid w:val="00102C9F"/>
    <w:rsid w:val="00103289"/>
    <w:rsid w:val="001056EA"/>
    <w:rsid w:val="001068D2"/>
    <w:rsid w:val="001069F2"/>
    <w:rsid w:val="00106C99"/>
    <w:rsid w:val="001103BD"/>
    <w:rsid w:val="00111208"/>
    <w:rsid w:val="001115E4"/>
    <w:rsid w:val="00111808"/>
    <w:rsid w:val="00112220"/>
    <w:rsid w:val="00112293"/>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730"/>
    <w:rsid w:val="001409A0"/>
    <w:rsid w:val="00140D97"/>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3AE"/>
    <w:rsid w:val="00160998"/>
    <w:rsid w:val="00160CD6"/>
    <w:rsid w:val="00160F5F"/>
    <w:rsid w:val="00162308"/>
    <w:rsid w:val="0016316A"/>
    <w:rsid w:val="0016381F"/>
    <w:rsid w:val="00163D1D"/>
    <w:rsid w:val="00164171"/>
    <w:rsid w:val="00164E58"/>
    <w:rsid w:val="00165033"/>
    <w:rsid w:val="00165518"/>
    <w:rsid w:val="001665EB"/>
    <w:rsid w:val="001670EA"/>
    <w:rsid w:val="001674A0"/>
    <w:rsid w:val="00170A50"/>
    <w:rsid w:val="0017486D"/>
    <w:rsid w:val="00174FFD"/>
    <w:rsid w:val="001759CA"/>
    <w:rsid w:val="00175D95"/>
    <w:rsid w:val="0017726A"/>
    <w:rsid w:val="001775AB"/>
    <w:rsid w:val="00177DD3"/>
    <w:rsid w:val="00180278"/>
    <w:rsid w:val="001807F2"/>
    <w:rsid w:val="001810E9"/>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4B1"/>
    <w:rsid w:val="001976AA"/>
    <w:rsid w:val="001A02F6"/>
    <w:rsid w:val="001A15C6"/>
    <w:rsid w:val="001A372F"/>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5D57"/>
    <w:rsid w:val="001D753C"/>
    <w:rsid w:val="001D7CA4"/>
    <w:rsid w:val="001D7E58"/>
    <w:rsid w:val="001E13B3"/>
    <w:rsid w:val="001E24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778"/>
    <w:rsid w:val="001F34DA"/>
    <w:rsid w:val="001F4DAC"/>
    <w:rsid w:val="001F5019"/>
    <w:rsid w:val="001F51C5"/>
    <w:rsid w:val="001F65B0"/>
    <w:rsid w:val="001F67AA"/>
    <w:rsid w:val="001F6AFD"/>
    <w:rsid w:val="001F738D"/>
    <w:rsid w:val="001F7599"/>
    <w:rsid w:val="00201EF6"/>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A79"/>
    <w:rsid w:val="00216F5F"/>
    <w:rsid w:val="00220615"/>
    <w:rsid w:val="00221985"/>
    <w:rsid w:val="00221EC5"/>
    <w:rsid w:val="00222A7A"/>
    <w:rsid w:val="00224A2C"/>
    <w:rsid w:val="00225217"/>
    <w:rsid w:val="0022563F"/>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4E1E"/>
    <w:rsid w:val="00245689"/>
    <w:rsid w:val="00245720"/>
    <w:rsid w:val="00245A6F"/>
    <w:rsid w:val="00245FD5"/>
    <w:rsid w:val="002477DF"/>
    <w:rsid w:val="00251AD6"/>
    <w:rsid w:val="00252C17"/>
    <w:rsid w:val="0025307F"/>
    <w:rsid w:val="002551BD"/>
    <w:rsid w:val="002568D0"/>
    <w:rsid w:val="00260AEE"/>
    <w:rsid w:val="00261AA8"/>
    <w:rsid w:val="002621A6"/>
    <w:rsid w:val="00262661"/>
    <w:rsid w:val="00262D9D"/>
    <w:rsid w:val="002632DF"/>
    <w:rsid w:val="00263946"/>
    <w:rsid w:val="002640BA"/>
    <w:rsid w:val="00264CF2"/>
    <w:rsid w:val="002667A8"/>
    <w:rsid w:val="00267587"/>
    <w:rsid w:val="002675C8"/>
    <w:rsid w:val="002675EF"/>
    <w:rsid w:val="00267760"/>
    <w:rsid w:val="00270D28"/>
    <w:rsid w:val="00271589"/>
    <w:rsid w:val="00273177"/>
    <w:rsid w:val="0027455B"/>
    <w:rsid w:val="00275074"/>
    <w:rsid w:val="002763E9"/>
    <w:rsid w:val="002765D3"/>
    <w:rsid w:val="00276736"/>
    <w:rsid w:val="00276F4E"/>
    <w:rsid w:val="0027773D"/>
    <w:rsid w:val="002815FA"/>
    <w:rsid w:val="002824C2"/>
    <w:rsid w:val="00284E32"/>
    <w:rsid w:val="002851EB"/>
    <w:rsid w:val="00285510"/>
    <w:rsid w:val="00285BD1"/>
    <w:rsid w:val="00285DE2"/>
    <w:rsid w:val="0028616D"/>
    <w:rsid w:val="00286965"/>
    <w:rsid w:val="00287B09"/>
    <w:rsid w:val="002902AA"/>
    <w:rsid w:val="0029136E"/>
    <w:rsid w:val="00292399"/>
    <w:rsid w:val="00292A19"/>
    <w:rsid w:val="00294445"/>
    <w:rsid w:val="002944F7"/>
    <w:rsid w:val="00294B4D"/>
    <w:rsid w:val="0029537E"/>
    <w:rsid w:val="002960D5"/>
    <w:rsid w:val="00297926"/>
    <w:rsid w:val="002A02C9"/>
    <w:rsid w:val="002A1062"/>
    <w:rsid w:val="002A2012"/>
    <w:rsid w:val="002A2413"/>
    <w:rsid w:val="002A2F5E"/>
    <w:rsid w:val="002A352A"/>
    <w:rsid w:val="002A54C7"/>
    <w:rsid w:val="002A607D"/>
    <w:rsid w:val="002B132E"/>
    <w:rsid w:val="002B1499"/>
    <w:rsid w:val="002B2813"/>
    <w:rsid w:val="002B2D29"/>
    <w:rsid w:val="002B2DBC"/>
    <w:rsid w:val="002B3B31"/>
    <w:rsid w:val="002B3BBD"/>
    <w:rsid w:val="002B75C3"/>
    <w:rsid w:val="002C0C4B"/>
    <w:rsid w:val="002C1EEA"/>
    <w:rsid w:val="002C37D4"/>
    <w:rsid w:val="002C47AD"/>
    <w:rsid w:val="002C5510"/>
    <w:rsid w:val="002C6034"/>
    <w:rsid w:val="002C635B"/>
    <w:rsid w:val="002C7276"/>
    <w:rsid w:val="002C7419"/>
    <w:rsid w:val="002C770F"/>
    <w:rsid w:val="002C7CFF"/>
    <w:rsid w:val="002D0BC6"/>
    <w:rsid w:val="002D0DA4"/>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5E38"/>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042"/>
    <w:rsid w:val="00321154"/>
    <w:rsid w:val="003211B0"/>
    <w:rsid w:val="00321EDA"/>
    <w:rsid w:val="003224AA"/>
    <w:rsid w:val="003224E7"/>
    <w:rsid w:val="00324C4F"/>
    <w:rsid w:val="00325D7A"/>
    <w:rsid w:val="00326145"/>
    <w:rsid w:val="00327163"/>
    <w:rsid w:val="00327305"/>
    <w:rsid w:val="00327531"/>
    <w:rsid w:val="00330187"/>
    <w:rsid w:val="00331C77"/>
    <w:rsid w:val="00331DB6"/>
    <w:rsid w:val="00331F96"/>
    <w:rsid w:val="00332B55"/>
    <w:rsid w:val="003336B9"/>
    <w:rsid w:val="0033476C"/>
    <w:rsid w:val="003352F3"/>
    <w:rsid w:val="00335EA8"/>
    <w:rsid w:val="003363DD"/>
    <w:rsid w:val="00336459"/>
    <w:rsid w:val="00337810"/>
    <w:rsid w:val="00340361"/>
    <w:rsid w:val="00340795"/>
    <w:rsid w:val="00340972"/>
    <w:rsid w:val="0034111C"/>
    <w:rsid w:val="00341E60"/>
    <w:rsid w:val="0034217F"/>
    <w:rsid w:val="00342AD2"/>
    <w:rsid w:val="00343954"/>
    <w:rsid w:val="00343F4F"/>
    <w:rsid w:val="00345405"/>
    <w:rsid w:val="00345DDD"/>
    <w:rsid w:val="00346FED"/>
    <w:rsid w:val="00351E01"/>
    <w:rsid w:val="00352968"/>
    <w:rsid w:val="0035298B"/>
    <w:rsid w:val="00352D21"/>
    <w:rsid w:val="0035443D"/>
    <w:rsid w:val="00354AA2"/>
    <w:rsid w:val="00354FEE"/>
    <w:rsid w:val="00356275"/>
    <w:rsid w:val="00356C0B"/>
    <w:rsid w:val="00357130"/>
    <w:rsid w:val="00357B9C"/>
    <w:rsid w:val="00361412"/>
    <w:rsid w:val="003615CA"/>
    <w:rsid w:val="00363B2C"/>
    <w:rsid w:val="003642A6"/>
    <w:rsid w:val="00364763"/>
    <w:rsid w:val="00365077"/>
    <w:rsid w:val="00365C3D"/>
    <w:rsid w:val="00366C1B"/>
    <w:rsid w:val="00367337"/>
    <w:rsid w:val="00367367"/>
    <w:rsid w:val="00367FD8"/>
    <w:rsid w:val="0037004E"/>
    <w:rsid w:val="00370B63"/>
    <w:rsid w:val="00370FCC"/>
    <w:rsid w:val="003711AF"/>
    <w:rsid w:val="003735C6"/>
    <w:rsid w:val="00374492"/>
    <w:rsid w:val="00374848"/>
    <w:rsid w:val="003757A1"/>
    <w:rsid w:val="00375D09"/>
    <w:rsid w:val="003762DC"/>
    <w:rsid w:val="0037739D"/>
    <w:rsid w:val="0037751C"/>
    <w:rsid w:val="00380B66"/>
    <w:rsid w:val="00380F3F"/>
    <w:rsid w:val="00381953"/>
    <w:rsid w:val="00382040"/>
    <w:rsid w:val="00382232"/>
    <w:rsid w:val="003829D3"/>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0A1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6A2"/>
    <w:rsid w:val="003B2E9B"/>
    <w:rsid w:val="003B2F8D"/>
    <w:rsid w:val="003B3C64"/>
    <w:rsid w:val="003B42BB"/>
    <w:rsid w:val="003B4FAA"/>
    <w:rsid w:val="003B547A"/>
    <w:rsid w:val="003B6EC0"/>
    <w:rsid w:val="003B70CE"/>
    <w:rsid w:val="003B75B9"/>
    <w:rsid w:val="003C087B"/>
    <w:rsid w:val="003C0DA2"/>
    <w:rsid w:val="003C114F"/>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0C22"/>
    <w:rsid w:val="003E13E0"/>
    <w:rsid w:val="003E1660"/>
    <w:rsid w:val="003E1CD1"/>
    <w:rsid w:val="003E2A2D"/>
    <w:rsid w:val="003E47D4"/>
    <w:rsid w:val="003E50B9"/>
    <w:rsid w:val="003E64A9"/>
    <w:rsid w:val="003E71BD"/>
    <w:rsid w:val="003E7905"/>
    <w:rsid w:val="003E7B35"/>
    <w:rsid w:val="003F0336"/>
    <w:rsid w:val="003F3FCC"/>
    <w:rsid w:val="003F5547"/>
    <w:rsid w:val="003F5C40"/>
    <w:rsid w:val="003F6E12"/>
    <w:rsid w:val="003F6F8B"/>
    <w:rsid w:val="003F75ED"/>
    <w:rsid w:val="004002B7"/>
    <w:rsid w:val="00400F31"/>
    <w:rsid w:val="00401F0D"/>
    <w:rsid w:val="00402006"/>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E1C"/>
    <w:rsid w:val="00433EBE"/>
    <w:rsid w:val="00434406"/>
    <w:rsid w:val="00440FED"/>
    <w:rsid w:val="00441B92"/>
    <w:rsid w:val="00443A9F"/>
    <w:rsid w:val="00444404"/>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C"/>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0E8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5F9"/>
    <w:rsid w:val="004C394F"/>
    <w:rsid w:val="004C3EC7"/>
    <w:rsid w:val="004C3EEE"/>
    <w:rsid w:val="004C483D"/>
    <w:rsid w:val="004C4D15"/>
    <w:rsid w:val="004C6DA5"/>
    <w:rsid w:val="004C795A"/>
    <w:rsid w:val="004C7F93"/>
    <w:rsid w:val="004D2629"/>
    <w:rsid w:val="004D26B8"/>
    <w:rsid w:val="004D2C2C"/>
    <w:rsid w:val="004D38C2"/>
    <w:rsid w:val="004D41DC"/>
    <w:rsid w:val="004D4753"/>
    <w:rsid w:val="004D4FBD"/>
    <w:rsid w:val="004D4FC0"/>
    <w:rsid w:val="004D5CE7"/>
    <w:rsid w:val="004D6381"/>
    <w:rsid w:val="004D7DA8"/>
    <w:rsid w:val="004E10CD"/>
    <w:rsid w:val="004E1401"/>
    <w:rsid w:val="004E2892"/>
    <w:rsid w:val="004E362B"/>
    <w:rsid w:val="004E3681"/>
    <w:rsid w:val="004E3D74"/>
    <w:rsid w:val="004E5DE1"/>
    <w:rsid w:val="004E615D"/>
    <w:rsid w:val="004E784B"/>
    <w:rsid w:val="004F0224"/>
    <w:rsid w:val="004F0801"/>
    <w:rsid w:val="004F0DB4"/>
    <w:rsid w:val="004F0E04"/>
    <w:rsid w:val="004F0E18"/>
    <w:rsid w:val="004F1CD3"/>
    <w:rsid w:val="004F1EBC"/>
    <w:rsid w:val="004F20E8"/>
    <w:rsid w:val="004F3072"/>
    <w:rsid w:val="004F3172"/>
    <w:rsid w:val="004F3B71"/>
    <w:rsid w:val="004F3FE5"/>
    <w:rsid w:val="004F5154"/>
    <w:rsid w:val="004F5835"/>
    <w:rsid w:val="004F5A61"/>
    <w:rsid w:val="004F661C"/>
    <w:rsid w:val="004F66C4"/>
    <w:rsid w:val="004F6D99"/>
    <w:rsid w:val="00500572"/>
    <w:rsid w:val="00500701"/>
    <w:rsid w:val="00501304"/>
    <w:rsid w:val="00501425"/>
    <w:rsid w:val="00501472"/>
    <w:rsid w:val="0050318B"/>
    <w:rsid w:val="00503CF2"/>
    <w:rsid w:val="00504311"/>
    <w:rsid w:val="0050485C"/>
    <w:rsid w:val="00504AC6"/>
    <w:rsid w:val="00504D75"/>
    <w:rsid w:val="00505D51"/>
    <w:rsid w:val="00510A9C"/>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5ED5"/>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7C"/>
    <w:rsid w:val="00560CF5"/>
    <w:rsid w:val="00561A77"/>
    <w:rsid w:val="0056272D"/>
    <w:rsid w:val="00562BAB"/>
    <w:rsid w:val="0056308E"/>
    <w:rsid w:val="005638C1"/>
    <w:rsid w:val="00563F16"/>
    <w:rsid w:val="0056415C"/>
    <w:rsid w:val="00564517"/>
    <w:rsid w:val="005649BF"/>
    <w:rsid w:val="005650ED"/>
    <w:rsid w:val="00565869"/>
    <w:rsid w:val="00567415"/>
    <w:rsid w:val="00567610"/>
    <w:rsid w:val="00570D9F"/>
    <w:rsid w:val="0057128C"/>
    <w:rsid w:val="0057185C"/>
    <w:rsid w:val="00571CA8"/>
    <w:rsid w:val="00572947"/>
    <w:rsid w:val="00573138"/>
    <w:rsid w:val="005734A7"/>
    <w:rsid w:val="005746C4"/>
    <w:rsid w:val="00574B50"/>
    <w:rsid w:val="00577835"/>
    <w:rsid w:val="00580793"/>
    <w:rsid w:val="00581470"/>
    <w:rsid w:val="00581A23"/>
    <w:rsid w:val="00581B62"/>
    <w:rsid w:val="00581BAD"/>
    <w:rsid w:val="00582087"/>
    <w:rsid w:val="00582726"/>
    <w:rsid w:val="00582F21"/>
    <w:rsid w:val="005831DD"/>
    <w:rsid w:val="00584320"/>
    <w:rsid w:val="00584EF4"/>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2C75"/>
    <w:rsid w:val="005A2FB7"/>
    <w:rsid w:val="005A34D5"/>
    <w:rsid w:val="005A3943"/>
    <w:rsid w:val="005A4904"/>
    <w:rsid w:val="005A515A"/>
    <w:rsid w:val="005A5F7D"/>
    <w:rsid w:val="005A704D"/>
    <w:rsid w:val="005A73AE"/>
    <w:rsid w:val="005B3C6D"/>
    <w:rsid w:val="005B4045"/>
    <w:rsid w:val="005B59EF"/>
    <w:rsid w:val="005B609E"/>
    <w:rsid w:val="005B6DF6"/>
    <w:rsid w:val="005B7B7D"/>
    <w:rsid w:val="005C1948"/>
    <w:rsid w:val="005C22F9"/>
    <w:rsid w:val="005C263C"/>
    <w:rsid w:val="005C2679"/>
    <w:rsid w:val="005C298C"/>
    <w:rsid w:val="005C5870"/>
    <w:rsid w:val="005D059A"/>
    <w:rsid w:val="005D07C5"/>
    <w:rsid w:val="005D21B7"/>
    <w:rsid w:val="005D2C12"/>
    <w:rsid w:val="005D2DAD"/>
    <w:rsid w:val="005D4302"/>
    <w:rsid w:val="005D5A20"/>
    <w:rsid w:val="005D786C"/>
    <w:rsid w:val="005E00E5"/>
    <w:rsid w:val="005E0148"/>
    <w:rsid w:val="005E049F"/>
    <w:rsid w:val="005E0BB6"/>
    <w:rsid w:val="005E3073"/>
    <w:rsid w:val="005E316A"/>
    <w:rsid w:val="005E53DE"/>
    <w:rsid w:val="005E7088"/>
    <w:rsid w:val="005E79C1"/>
    <w:rsid w:val="005E7E1B"/>
    <w:rsid w:val="005F0108"/>
    <w:rsid w:val="005F0291"/>
    <w:rsid w:val="005F056E"/>
    <w:rsid w:val="005F0ECC"/>
    <w:rsid w:val="005F21A5"/>
    <w:rsid w:val="005F2470"/>
    <w:rsid w:val="005F28C6"/>
    <w:rsid w:val="005F2948"/>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D3"/>
    <w:rsid w:val="00612723"/>
    <w:rsid w:val="00613EA5"/>
    <w:rsid w:val="00614CD1"/>
    <w:rsid w:val="006151F2"/>
    <w:rsid w:val="0061567B"/>
    <w:rsid w:val="00615AC8"/>
    <w:rsid w:val="0062152A"/>
    <w:rsid w:val="00623583"/>
    <w:rsid w:val="0062462F"/>
    <w:rsid w:val="00624BA1"/>
    <w:rsid w:val="00624BF5"/>
    <w:rsid w:val="0062661B"/>
    <w:rsid w:val="00627832"/>
    <w:rsid w:val="00627A70"/>
    <w:rsid w:val="00630118"/>
    <w:rsid w:val="00630514"/>
    <w:rsid w:val="006310AE"/>
    <w:rsid w:val="00631762"/>
    <w:rsid w:val="00632196"/>
    <w:rsid w:val="00632BA2"/>
    <w:rsid w:val="00633BF2"/>
    <w:rsid w:val="00633F67"/>
    <w:rsid w:val="006345C3"/>
    <w:rsid w:val="00634C33"/>
    <w:rsid w:val="0063530F"/>
    <w:rsid w:val="006362F9"/>
    <w:rsid w:val="006369A9"/>
    <w:rsid w:val="006373CD"/>
    <w:rsid w:val="00641283"/>
    <w:rsid w:val="006413CF"/>
    <w:rsid w:val="00641413"/>
    <w:rsid w:val="00641465"/>
    <w:rsid w:val="0064165D"/>
    <w:rsid w:val="00642E8C"/>
    <w:rsid w:val="00643123"/>
    <w:rsid w:val="006433BD"/>
    <w:rsid w:val="00643562"/>
    <w:rsid w:val="00643784"/>
    <w:rsid w:val="00644186"/>
    <w:rsid w:val="00644A21"/>
    <w:rsid w:val="00644C1C"/>
    <w:rsid w:val="00645C9F"/>
    <w:rsid w:val="00645CF8"/>
    <w:rsid w:val="00646305"/>
    <w:rsid w:val="00646864"/>
    <w:rsid w:val="00646A6C"/>
    <w:rsid w:val="006475E6"/>
    <w:rsid w:val="006508B9"/>
    <w:rsid w:val="00650CA1"/>
    <w:rsid w:val="0065143C"/>
    <w:rsid w:val="00651854"/>
    <w:rsid w:val="0065238F"/>
    <w:rsid w:val="00652578"/>
    <w:rsid w:val="006535AD"/>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88B"/>
    <w:rsid w:val="0066699A"/>
    <w:rsid w:val="00666DFC"/>
    <w:rsid w:val="00666EBB"/>
    <w:rsid w:val="0066779E"/>
    <w:rsid w:val="00667FAF"/>
    <w:rsid w:val="0067096D"/>
    <w:rsid w:val="00670AF4"/>
    <w:rsid w:val="006719E0"/>
    <w:rsid w:val="0067269D"/>
    <w:rsid w:val="00672988"/>
    <w:rsid w:val="00672C64"/>
    <w:rsid w:val="00674E6A"/>
    <w:rsid w:val="00675CF4"/>
    <w:rsid w:val="006766E6"/>
    <w:rsid w:val="00676A64"/>
    <w:rsid w:val="00676BA8"/>
    <w:rsid w:val="006778DF"/>
    <w:rsid w:val="00677925"/>
    <w:rsid w:val="006779BF"/>
    <w:rsid w:val="00680F46"/>
    <w:rsid w:val="00681FDC"/>
    <w:rsid w:val="00682B53"/>
    <w:rsid w:val="00682EA9"/>
    <w:rsid w:val="00682F27"/>
    <w:rsid w:val="006854D4"/>
    <w:rsid w:val="006859DB"/>
    <w:rsid w:val="0068678D"/>
    <w:rsid w:val="00686B29"/>
    <w:rsid w:val="00687488"/>
    <w:rsid w:val="006904ED"/>
    <w:rsid w:val="00690E2E"/>
    <w:rsid w:val="006915D7"/>
    <w:rsid w:val="00692814"/>
    <w:rsid w:val="006932E7"/>
    <w:rsid w:val="00693347"/>
    <w:rsid w:val="0069334C"/>
    <w:rsid w:val="00696D63"/>
    <w:rsid w:val="006A032F"/>
    <w:rsid w:val="006A09B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137"/>
    <w:rsid w:val="006B564D"/>
    <w:rsid w:val="006C1445"/>
    <w:rsid w:val="006C3AB0"/>
    <w:rsid w:val="006C4FC1"/>
    <w:rsid w:val="006C51A5"/>
    <w:rsid w:val="006C529D"/>
    <w:rsid w:val="006C621A"/>
    <w:rsid w:val="006C6798"/>
    <w:rsid w:val="006C6DF7"/>
    <w:rsid w:val="006D0C12"/>
    <w:rsid w:val="006D0E6B"/>
    <w:rsid w:val="006D2146"/>
    <w:rsid w:val="006D632E"/>
    <w:rsid w:val="006E094A"/>
    <w:rsid w:val="006E12B1"/>
    <w:rsid w:val="006E13D1"/>
    <w:rsid w:val="006E34A2"/>
    <w:rsid w:val="006E4D0C"/>
    <w:rsid w:val="006E4D1B"/>
    <w:rsid w:val="006E5B78"/>
    <w:rsid w:val="006E67BA"/>
    <w:rsid w:val="006E699D"/>
    <w:rsid w:val="006E6BA3"/>
    <w:rsid w:val="006F1116"/>
    <w:rsid w:val="006F1A32"/>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B0D"/>
    <w:rsid w:val="00702D5A"/>
    <w:rsid w:val="00702EF7"/>
    <w:rsid w:val="00703571"/>
    <w:rsid w:val="00703989"/>
    <w:rsid w:val="007039B8"/>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2B23"/>
    <w:rsid w:val="00732C4B"/>
    <w:rsid w:val="00733893"/>
    <w:rsid w:val="00734A05"/>
    <w:rsid w:val="00735C6F"/>
    <w:rsid w:val="00737A31"/>
    <w:rsid w:val="00742A6A"/>
    <w:rsid w:val="00742B44"/>
    <w:rsid w:val="0074656E"/>
    <w:rsid w:val="007472D5"/>
    <w:rsid w:val="00752A9F"/>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500F"/>
    <w:rsid w:val="0077548E"/>
    <w:rsid w:val="00777315"/>
    <w:rsid w:val="007802E4"/>
    <w:rsid w:val="007803FC"/>
    <w:rsid w:val="00780919"/>
    <w:rsid w:val="00781589"/>
    <w:rsid w:val="007820D0"/>
    <w:rsid w:val="007826C8"/>
    <w:rsid w:val="00784190"/>
    <w:rsid w:val="0078457B"/>
    <w:rsid w:val="00784756"/>
    <w:rsid w:val="0078539D"/>
    <w:rsid w:val="007856C1"/>
    <w:rsid w:val="00785B0F"/>
    <w:rsid w:val="00787051"/>
    <w:rsid w:val="0079018D"/>
    <w:rsid w:val="007901DC"/>
    <w:rsid w:val="00790DC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D40"/>
    <w:rsid w:val="007E2F41"/>
    <w:rsid w:val="007E44FC"/>
    <w:rsid w:val="007E5AC2"/>
    <w:rsid w:val="007E6CB4"/>
    <w:rsid w:val="007E79C5"/>
    <w:rsid w:val="007F1E28"/>
    <w:rsid w:val="007F2845"/>
    <w:rsid w:val="007F2A69"/>
    <w:rsid w:val="007F38A2"/>
    <w:rsid w:val="007F3AB8"/>
    <w:rsid w:val="007F43BC"/>
    <w:rsid w:val="007F4740"/>
    <w:rsid w:val="008006C6"/>
    <w:rsid w:val="00800C52"/>
    <w:rsid w:val="0080153E"/>
    <w:rsid w:val="008018C8"/>
    <w:rsid w:val="0080263A"/>
    <w:rsid w:val="008028D8"/>
    <w:rsid w:val="00802CC8"/>
    <w:rsid w:val="0080329D"/>
    <w:rsid w:val="008055A9"/>
    <w:rsid w:val="0080742D"/>
    <w:rsid w:val="008100AC"/>
    <w:rsid w:val="00810C05"/>
    <w:rsid w:val="00810DC6"/>
    <w:rsid w:val="0081151E"/>
    <w:rsid w:val="00812498"/>
    <w:rsid w:val="008127E6"/>
    <w:rsid w:val="0081336E"/>
    <w:rsid w:val="00813928"/>
    <w:rsid w:val="00814C5D"/>
    <w:rsid w:val="008154EC"/>
    <w:rsid w:val="00817B7F"/>
    <w:rsid w:val="00820DC7"/>
    <w:rsid w:val="00820FFB"/>
    <w:rsid w:val="00821698"/>
    <w:rsid w:val="008221FE"/>
    <w:rsid w:val="00822BF5"/>
    <w:rsid w:val="00824894"/>
    <w:rsid w:val="00825366"/>
    <w:rsid w:val="00825E84"/>
    <w:rsid w:val="00826C7B"/>
    <w:rsid w:val="00826DD9"/>
    <w:rsid w:val="00826E01"/>
    <w:rsid w:val="008277A8"/>
    <w:rsid w:val="008278B6"/>
    <w:rsid w:val="0083033C"/>
    <w:rsid w:val="008307ED"/>
    <w:rsid w:val="00830B3B"/>
    <w:rsid w:val="0083350F"/>
    <w:rsid w:val="00833B2D"/>
    <w:rsid w:val="00834358"/>
    <w:rsid w:val="008346BD"/>
    <w:rsid w:val="00834714"/>
    <w:rsid w:val="00834923"/>
    <w:rsid w:val="00834E97"/>
    <w:rsid w:val="008359EB"/>
    <w:rsid w:val="00836B7A"/>
    <w:rsid w:val="00837B90"/>
    <w:rsid w:val="008409AA"/>
    <w:rsid w:val="00840FB8"/>
    <w:rsid w:val="00842E0C"/>
    <w:rsid w:val="00843A7A"/>
    <w:rsid w:val="008447F5"/>
    <w:rsid w:val="00846292"/>
    <w:rsid w:val="008506E1"/>
    <w:rsid w:val="00850D96"/>
    <w:rsid w:val="008515EE"/>
    <w:rsid w:val="008516A1"/>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12A1"/>
    <w:rsid w:val="00874009"/>
    <w:rsid w:val="00874158"/>
    <w:rsid w:val="008743F3"/>
    <w:rsid w:val="0087444A"/>
    <w:rsid w:val="00875139"/>
    <w:rsid w:val="00875410"/>
    <w:rsid w:val="008769BD"/>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003"/>
    <w:rsid w:val="00894B58"/>
    <w:rsid w:val="00894FDC"/>
    <w:rsid w:val="0089509E"/>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6F52"/>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01D"/>
    <w:rsid w:val="008F1264"/>
    <w:rsid w:val="008F2908"/>
    <w:rsid w:val="008F47C6"/>
    <w:rsid w:val="008F6647"/>
    <w:rsid w:val="008F700E"/>
    <w:rsid w:val="00900343"/>
    <w:rsid w:val="009006A2"/>
    <w:rsid w:val="0090102B"/>
    <w:rsid w:val="00901448"/>
    <w:rsid w:val="009018F6"/>
    <w:rsid w:val="0090294D"/>
    <w:rsid w:val="009036BC"/>
    <w:rsid w:val="00903D30"/>
    <w:rsid w:val="00904414"/>
    <w:rsid w:val="00905197"/>
    <w:rsid w:val="00905C47"/>
    <w:rsid w:val="00906379"/>
    <w:rsid w:val="00906A8C"/>
    <w:rsid w:val="009101EA"/>
    <w:rsid w:val="009106FC"/>
    <w:rsid w:val="009118BB"/>
    <w:rsid w:val="0091191F"/>
    <w:rsid w:val="00911B9B"/>
    <w:rsid w:val="00911E7D"/>
    <w:rsid w:val="00912020"/>
    <w:rsid w:val="009120A9"/>
    <w:rsid w:val="009134C3"/>
    <w:rsid w:val="00915B81"/>
    <w:rsid w:val="00915D6B"/>
    <w:rsid w:val="009160DF"/>
    <w:rsid w:val="009162C7"/>
    <w:rsid w:val="00916EC2"/>
    <w:rsid w:val="009213BD"/>
    <w:rsid w:val="009230A6"/>
    <w:rsid w:val="00923E95"/>
    <w:rsid w:val="00924627"/>
    <w:rsid w:val="009250A8"/>
    <w:rsid w:val="0092522E"/>
    <w:rsid w:val="00925BE6"/>
    <w:rsid w:val="00926697"/>
    <w:rsid w:val="00926F61"/>
    <w:rsid w:val="00926FA9"/>
    <w:rsid w:val="0093123D"/>
    <w:rsid w:val="00932E62"/>
    <w:rsid w:val="00933040"/>
    <w:rsid w:val="009330E9"/>
    <w:rsid w:val="00934D97"/>
    <w:rsid w:val="00935D15"/>
    <w:rsid w:val="009374B1"/>
    <w:rsid w:val="009411FB"/>
    <w:rsid w:val="009414A9"/>
    <w:rsid w:val="00941B71"/>
    <w:rsid w:val="00941DF9"/>
    <w:rsid w:val="009421AD"/>
    <w:rsid w:val="0094221C"/>
    <w:rsid w:val="0094409C"/>
    <w:rsid w:val="00944159"/>
    <w:rsid w:val="009449B2"/>
    <w:rsid w:val="00944A82"/>
    <w:rsid w:val="00944BA5"/>
    <w:rsid w:val="009452CB"/>
    <w:rsid w:val="00946511"/>
    <w:rsid w:val="00946C4D"/>
    <w:rsid w:val="0095019A"/>
    <w:rsid w:val="0095042F"/>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49E"/>
    <w:rsid w:val="009710AC"/>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7E5"/>
    <w:rsid w:val="00983D46"/>
    <w:rsid w:val="00983DCA"/>
    <w:rsid w:val="00985EF7"/>
    <w:rsid w:val="00986093"/>
    <w:rsid w:val="00986146"/>
    <w:rsid w:val="00986CF9"/>
    <w:rsid w:val="00987416"/>
    <w:rsid w:val="0099046B"/>
    <w:rsid w:val="009909AA"/>
    <w:rsid w:val="00990C0E"/>
    <w:rsid w:val="00990D75"/>
    <w:rsid w:val="00991093"/>
    <w:rsid w:val="0099163B"/>
    <w:rsid w:val="00992343"/>
    <w:rsid w:val="009938B1"/>
    <w:rsid w:val="00996258"/>
    <w:rsid w:val="00996306"/>
    <w:rsid w:val="00996744"/>
    <w:rsid w:val="00997CF4"/>
    <w:rsid w:val="009A0FDB"/>
    <w:rsid w:val="009A1169"/>
    <w:rsid w:val="009A164C"/>
    <w:rsid w:val="009A1AAC"/>
    <w:rsid w:val="009A2CB8"/>
    <w:rsid w:val="009A32F1"/>
    <w:rsid w:val="009A36D0"/>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04"/>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AAD"/>
    <w:rsid w:val="009C70DB"/>
    <w:rsid w:val="009C774A"/>
    <w:rsid w:val="009D00D7"/>
    <w:rsid w:val="009D1191"/>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4EC5"/>
    <w:rsid w:val="009F514E"/>
    <w:rsid w:val="009F67D5"/>
    <w:rsid w:val="009F7867"/>
    <w:rsid w:val="009F7D66"/>
    <w:rsid w:val="00A00A2D"/>
    <w:rsid w:val="00A00BD2"/>
    <w:rsid w:val="00A00E56"/>
    <w:rsid w:val="00A027F3"/>
    <w:rsid w:val="00A03978"/>
    <w:rsid w:val="00A03AB1"/>
    <w:rsid w:val="00A04D7E"/>
    <w:rsid w:val="00A051D9"/>
    <w:rsid w:val="00A05D29"/>
    <w:rsid w:val="00A05DF3"/>
    <w:rsid w:val="00A06279"/>
    <w:rsid w:val="00A07E08"/>
    <w:rsid w:val="00A10D79"/>
    <w:rsid w:val="00A11535"/>
    <w:rsid w:val="00A11E56"/>
    <w:rsid w:val="00A12798"/>
    <w:rsid w:val="00A13A09"/>
    <w:rsid w:val="00A153BE"/>
    <w:rsid w:val="00A15DEE"/>
    <w:rsid w:val="00A16462"/>
    <w:rsid w:val="00A167B5"/>
    <w:rsid w:val="00A16CA6"/>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355"/>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230"/>
    <w:rsid w:val="00A65A70"/>
    <w:rsid w:val="00A6665F"/>
    <w:rsid w:val="00A66F36"/>
    <w:rsid w:val="00A676D9"/>
    <w:rsid w:val="00A67EFC"/>
    <w:rsid w:val="00A7031E"/>
    <w:rsid w:val="00A71140"/>
    <w:rsid w:val="00A7205E"/>
    <w:rsid w:val="00A74692"/>
    <w:rsid w:val="00A75A52"/>
    <w:rsid w:val="00A7618B"/>
    <w:rsid w:val="00A7640B"/>
    <w:rsid w:val="00A766F3"/>
    <w:rsid w:val="00A77269"/>
    <w:rsid w:val="00A773A8"/>
    <w:rsid w:val="00A7778B"/>
    <w:rsid w:val="00A803BC"/>
    <w:rsid w:val="00A80961"/>
    <w:rsid w:val="00A80969"/>
    <w:rsid w:val="00A85798"/>
    <w:rsid w:val="00A8609D"/>
    <w:rsid w:val="00A86EA7"/>
    <w:rsid w:val="00A91244"/>
    <w:rsid w:val="00A91284"/>
    <w:rsid w:val="00A91774"/>
    <w:rsid w:val="00A91C7F"/>
    <w:rsid w:val="00A92066"/>
    <w:rsid w:val="00A92776"/>
    <w:rsid w:val="00A93181"/>
    <w:rsid w:val="00A938E6"/>
    <w:rsid w:val="00A93CCF"/>
    <w:rsid w:val="00A94E4E"/>
    <w:rsid w:val="00A95514"/>
    <w:rsid w:val="00A95BD5"/>
    <w:rsid w:val="00A95C53"/>
    <w:rsid w:val="00A96579"/>
    <w:rsid w:val="00A96F78"/>
    <w:rsid w:val="00A979E1"/>
    <w:rsid w:val="00AA0B9E"/>
    <w:rsid w:val="00AA1087"/>
    <w:rsid w:val="00AA247C"/>
    <w:rsid w:val="00AA25A9"/>
    <w:rsid w:val="00AA26D9"/>
    <w:rsid w:val="00AA4605"/>
    <w:rsid w:val="00AA51AD"/>
    <w:rsid w:val="00AA591E"/>
    <w:rsid w:val="00AA5DF4"/>
    <w:rsid w:val="00AA65C9"/>
    <w:rsid w:val="00AA66CB"/>
    <w:rsid w:val="00AA6EA4"/>
    <w:rsid w:val="00AB0A32"/>
    <w:rsid w:val="00AB0B90"/>
    <w:rsid w:val="00AB0E56"/>
    <w:rsid w:val="00AB0ED5"/>
    <w:rsid w:val="00AB18AC"/>
    <w:rsid w:val="00AB1EB7"/>
    <w:rsid w:val="00AB219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39"/>
    <w:rsid w:val="00AC67B6"/>
    <w:rsid w:val="00AC6BEC"/>
    <w:rsid w:val="00AC7D98"/>
    <w:rsid w:val="00AD00C5"/>
    <w:rsid w:val="00AD0842"/>
    <w:rsid w:val="00AD165F"/>
    <w:rsid w:val="00AD2209"/>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72B"/>
    <w:rsid w:val="00AF4B8A"/>
    <w:rsid w:val="00AF4F1B"/>
    <w:rsid w:val="00AF5EC6"/>
    <w:rsid w:val="00AF6C38"/>
    <w:rsid w:val="00AF6DDC"/>
    <w:rsid w:val="00AF6E8A"/>
    <w:rsid w:val="00AF6FD8"/>
    <w:rsid w:val="00AF7213"/>
    <w:rsid w:val="00AF7406"/>
    <w:rsid w:val="00AF7771"/>
    <w:rsid w:val="00AF7D92"/>
    <w:rsid w:val="00B011CC"/>
    <w:rsid w:val="00B02DFF"/>
    <w:rsid w:val="00B04048"/>
    <w:rsid w:val="00B04B73"/>
    <w:rsid w:val="00B04F3D"/>
    <w:rsid w:val="00B05120"/>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4B6"/>
    <w:rsid w:val="00B34E63"/>
    <w:rsid w:val="00B35DA4"/>
    <w:rsid w:val="00B40A96"/>
    <w:rsid w:val="00B41000"/>
    <w:rsid w:val="00B4184B"/>
    <w:rsid w:val="00B422A7"/>
    <w:rsid w:val="00B42A32"/>
    <w:rsid w:val="00B42FA6"/>
    <w:rsid w:val="00B433D7"/>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5454"/>
    <w:rsid w:val="00B76BCD"/>
    <w:rsid w:val="00B76EE9"/>
    <w:rsid w:val="00B77231"/>
    <w:rsid w:val="00B77880"/>
    <w:rsid w:val="00B77B36"/>
    <w:rsid w:val="00B80D90"/>
    <w:rsid w:val="00B82613"/>
    <w:rsid w:val="00B828B5"/>
    <w:rsid w:val="00B82ED8"/>
    <w:rsid w:val="00B83E1B"/>
    <w:rsid w:val="00B845D0"/>
    <w:rsid w:val="00B84A80"/>
    <w:rsid w:val="00B84E9C"/>
    <w:rsid w:val="00B85522"/>
    <w:rsid w:val="00B90E2A"/>
    <w:rsid w:val="00B90F2A"/>
    <w:rsid w:val="00B916BD"/>
    <w:rsid w:val="00B9198D"/>
    <w:rsid w:val="00B92D25"/>
    <w:rsid w:val="00B93008"/>
    <w:rsid w:val="00B9406D"/>
    <w:rsid w:val="00B948DE"/>
    <w:rsid w:val="00B94BA7"/>
    <w:rsid w:val="00B94E0E"/>
    <w:rsid w:val="00B96413"/>
    <w:rsid w:val="00B97CA3"/>
    <w:rsid w:val="00BA1913"/>
    <w:rsid w:val="00BA2BC9"/>
    <w:rsid w:val="00BA4641"/>
    <w:rsid w:val="00BA4A54"/>
    <w:rsid w:val="00BA76A9"/>
    <w:rsid w:val="00BB0595"/>
    <w:rsid w:val="00BB11D3"/>
    <w:rsid w:val="00BB2F36"/>
    <w:rsid w:val="00BB3E2B"/>
    <w:rsid w:val="00BB5D1C"/>
    <w:rsid w:val="00BB6552"/>
    <w:rsid w:val="00BB65E0"/>
    <w:rsid w:val="00BB69FA"/>
    <w:rsid w:val="00BB6B9B"/>
    <w:rsid w:val="00BB754F"/>
    <w:rsid w:val="00BB7724"/>
    <w:rsid w:val="00BC0058"/>
    <w:rsid w:val="00BC07D4"/>
    <w:rsid w:val="00BC0A5D"/>
    <w:rsid w:val="00BC0BE3"/>
    <w:rsid w:val="00BC1AD9"/>
    <w:rsid w:val="00BC29B8"/>
    <w:rsid w:val="00BC3257"/>
    <w:rsid w:val="00BC32E7"/>
    <w:rsid w:val="00BC4F81"/>
    <w:rsid w:val="00BC5670"/>
    <w:rsid w:val="00BC58B9"/>
    <w:rsid w:val="00BD2F13"/>
    <w:rsid w:val="00BD3056"/>
    <w:rsid w:val="00BD3846"/>
    <w:rsid w:val="00BD3E68"/>
    <w:rsid w:val="00BD4E05"/>
    <w:rsid w:val="00BD598A"/>
    <w:rsid w:val="00BD5C7A"/>
    <w:rsid w:val="00BD628C"/>
    <w:rsid w:val="00BD664F"/>
    <w:rsid w:val="00BD723F"/>
    <w:rsid w:val="00BD75B4"/>
    <w:rsid w:val="00BD7D14"/>
    <w:rsid w:val="00BE02B4"/>
    <w:rsid w:val="00BE205A"/>
    <w:rsid w:val="00BE28C1"/>
    <w:rsid w:val="00BE3492"/>
    <w:rsid w:val="00BE35CB"/>
    <w:rsid w:val="00BE3B65"/>
    <w:rsid w:val="00BE4EC9"/>
    <w:rsid w:val="00BE631E"/>
    <w:rsid w:val="00BE6BEC"/>
    <w:rsid w:val="00BE73C8"/>
    <w:rsid w:val="00BF0CCF"/>
    <w:rsid w:val="00BF0FC5"/>
    <w:rsid w:val="00BF10BC"/>
    <w:rsid w:val="00BF21AC"/>
    <w:rsid w:val="00BF2E53"/>
    <w:rsid w:val="00BF352A"/>
    <w:rsid w:val="00BF3669"/>
    <w:rsid w:val="00BF3C0D"/>
    <w:rsid w:val="00BF6252"/>
    <w:rsid w:val="00BF686C"/>
    <w:rsid w:val="00BF711C"/>
    <w:rsid w:val="00BF748E"/>
    <w:rsid w:val="00BF789B"/>
    <w:rsid w:val="00C03309"/>
    <w:rsid w:val="00C037E0"/>
    <w:rsid w:val="00C0436F"/>
    <w:rsid w:val="00C072FE"/>
    <w:rsid w:val="00C11ADE"/>
    <w:rsid w:val="00C126E0"/>
    <w:rsid w:val="00C12E39"/>
    <w:rsid w:val="00C13D47"/>
    <w:rsid w:val="00C14164"/>
    <w:rsid w:val="00C14C53"/>
    <w:rsid w:val="00C15465"/>
    <w:rsid w:val="00C15CCA"/>
    <w:rsid w:val="00C15D8E"/>
    <w:rsid w:val="00C17012"/>
    <w:rsid w:val="00C178FB"/>
    <w:rsid w:val="00C17DF9"/>
    <w:rsid w:val="00C201EB"/>
    <w:rsid w:val="00C20ACC"/>
    <w:rsid w:val="00C21383"/>
    <w:rsid w:val="00C22B28"/>
    <w:rsid w:val="00C257B7"/>
    <w:rsid w:val="00C25BD2"/>
    <w:rsid w:val="00C272E8"/>
    <w:rsid w:val="00C278AF"/>
    <w:rsid w:val="00C30ABC"/>
    <w:rsid w:val="00C30B60"/>
    <w:rsid w:val="00C31FAA"/>
    <w:rsid w:val="00C33359"/>
    <w:rsid w:val="00C344C2"/>
    <w:rsid w:val="00C348D6"/>
    <w:rsid w:val="00C3504C"/>
    <w:rsid w:val="00C365E7"/>
    <w:rsid w:val="00C36E34"/>
    <w:rsid w:val="00C40388"/>
    <w:rsid w:val="00C404D7"/>
    <w:rsid w:val="00C404EE"/>
    <w:rsid w:val="00C4171B"/>
    <w:rsid w:val="00C42418"/>
    <w:rsid w:val="00C42689"/>
    <w:rsid w:val="00C42988"/>
    <w:rsid w:val="00C42BD4"/>
    <w:rsid w:val="00C43975"/>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78A"/>
    <w:rsid w:val="00C57A01"/>
    <w:rsid w:val="00C57A2D"/>
    <w:rsid w:val="00C57C71"/>
    <w:rsid w:val="00C60B07"/>
    <w:rsid w:val="00C61D4B"/>
    <w:rsid w:val="00C62B0A"/>
    <w:rsid w:val="00C63C52"/>
    <w:rsid w:val="00C63F08"/>
    <w:rsid w:val="00C6528C"/>
    <w:rsid w:val="00C661E8"/>
    <w:rsid w:val="00C677A4"/>
    <w:rsid w:val="00C70084"/>
    <w:rsid w:val="00C7090B"/>
    <w:rsid w:val="00C7235B"/>
    <w:rsid w:val="00C72E18"/>
    <w:rsid w:val="00C731AD"/>
    <w:rsid w:val="00C73458"/>
    <w:rsid w:val="00C7380B"/>
    <w:rsid w:val="00C74421"/>
    <w:rsid w:val="00C74472"/>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7F6"/>
    <w:rsid w:val="00C94A34"/>
    <w:rsid w:val="00C94C2B"/>
    <w:rsid w:val="00C94F73"/>
    <w:rsid w:val="00C95609"/>
    <w:rsid w:val="00C96F79"/>
    <w:rsid w:val="00C97CF9"/>
    <w:rsid w:val="00CA17DD"/>
    <w:rsid w:val="00CA1863"/>
    <w:rsid w:val="00CA1941"/>
    <w:rsid w:val="00CA26CE"/>
    <w:rsid w:val="00CA2F1D"/>
    <w:rsid w:val="00CA391D"/>
    <w:rsid w:val="00CA3ACD"/>
    <w:rsid w:val="00CA4F8B"/>
    <w:rsid w:val="00CA5445"/>
    <w:rsid w:val="00CA6DD1"/>
    <w:rsid w:val="00CB09DA"/>
    <w:rsid w:val="00CB0BD9"/>
    <w:rsid w:val="00CB1CAC"/>
    <w:rsid w:val="00CB1DE8"/>
    <w:rsid w:val="00CB1E3B"/>
    <w:rsid w:val="00CB1F1D"/>
    <w:rsid w:val="00CB6795"/>
    <w:rsid w:val="00CB71F8"/>
    <w:rsid w:val="00CC03A9"/>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0CA"/>
    <w:rsid w:val="00CE2323"/>
    <w:rsid w:val="00CE2346"/>
    <w:rsid w:val="00CE6F0F"/>
    <w:rsid w:val="00CF002F"/>
    <w:rsid w:val="00CF0246"/>
    <w:rsid w:val="00CF2483"/>
    <w:rsid w:val="00CF24E2"/>
    <w:rsid w:val="00CF393D"/>
    <w:rsid w:val="00CF4ABD"/>
    <w:rsid w:val="00CF4CF2"/>
    <w:rsid w:val="00CF528E"/>
    <w:rsid w:val="00CF5A53"/>
    <w:rsid w:val="00CF5D28"/>
    <w:rsid w:val="00CF68B8"/>
    <w:rsid w:val="00CF6EAD"/>
    <w:rsid w:val="00CF6F1E"/>
    <w:rsid w:val="00CF7D9A"/>
    <w:rsid w:val="00D001F9"/>
    <w:rsid w:val="00D0036E"/>
    <w:rsid w:val="00D00BB7"/>
    <w:rsid w:val="00D01EAD"/>
    <w:rsid w:val="00D035B9"/>
    <w:rsid w:val="00D040B7"/>
    <w:rsid w:val="00D05E7A"/>
    <w:rsid w:val="00D060FF"/>
    <w:rsid w:val="00D064E8"/>
    <w:rsid w:val="00D06546"/>
    <w:rsid w:val="00D06572"/>
    <w:rsid w:val="00D065CD"/>
    <w:rsid w:val="00D11D7B"/>
    <w:rsid w:val="00D12101"/>
    <w:rsid w:val="00D12325"/>
    <w:rsid w:val="00D12761"/>
    <w:rsid w:val="00D1334B"/>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72C"/>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B7E"/>
    <w:rsid w:val="00D46F1B"/>
    <w:rsid w:val="00D475FB"/>
    <w:rsid w:val="00D47C16"/>
    <w:rsid w:val="00D502AF"/>
    <w:rsid w:val="00D50546"/>
    <w:rsid w:val="00D50764"/>
    <w:rsid w:val="00D50C12"/>
    <w:rsid w:val="00D51034"/>
    <w:rsid w:val="00D514A9"/>
    <w:rsid w:val="00D51A77"/>
    <w:rsid w:val="00D51D52"/>
    <w:rsid w:val="00D5267B"/>
    <w:rsid w:val="00D53649"/>
    <w:rsid w:val="00D53830"/>
    <w:rsid w:val="00D54676"/>
    <w:rsid w:val="00D54FB3"/>
    <w:rsid w:val="00D55889"/>
    <w:rsid w:val="00D56B5F"/>
    <w:rsid w:val="00D57A3F"/>
    <w:rsid w:val="00D57AF0"/>
    <w:rsid w:val="00D61815"/>
    <w:rsid w:val="00D6260F"/>
    <w:rsid w:val="00D627E3"/>
    <w:rsid w:val="00D62ECD"/>
    <w:rsid w:val="00D64426"/>
    <w:rsid w:val="00D64475"/>
    <w:rsid w:val="00D65D78"/>
    <w:rsid w:val="00D6677F"/>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6C95"/>
    <w:rsid w:val="00D77413"/>
    <w:rsid w:val="00D80B04"/>
    <w:rsid w:val="00D81F10"/>
    <w:rsid w:val="00D82798"/>
    <w:rsid w:val="00D82BF2"/>
    <w:rsid w:val="00D833D2"/>
    <w:rsid w:val="00D84A57"/>
    <w:rsid w:val="00D85164"/>
    <w:rsid w:val="00D86437"/>
    <w:rsid w:val="00D87307"/>
    <w:rsid w:val="00D874DF"/>
    <w:rsid w:val="00D87A12"/>
    <w:rsid w:val="00D930E1"/>
    <w:rsid w:val="00D9354D"/>
    <w:rsid w:val="00D93CA4"/>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5E4"/>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8EE"/>
    <w:rsid w:val="00DB6A80"/>
    <w:rsid w:val="00DB6C06"/>
    <w:rsid w:val="00DB7B06"/>
    <w:rsid w:val="00DC043D"/>
    <w:rsid w:val="00DC318A"/>
    <w:rsid w:val="00DC3A9D"/>
    <w:rsid w:val="00DC4004"/>
    <w:rsid w:val="00DC4243"/>
    <w:rsid w:val="00DC5584"/>
    <w:rsid w:val="00DC5628"/>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F88"/>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144"/>
    <w:rsid w:val="00E20B20"/>
    <w:rsid w:val="00E2209E"/>
    <w:rsid w:val="00E239D1"/>
    <w:rsid w:val="00E246B9"/>
    <w:rsid w:val="00E250C5"/>
    <w:rsid w:val="00E2665D"/>
    <w:rsid w:val="00E26727"/>
    <w:rsid w:val="00E26970"/>
    <w:rsid w:val="00E2728F"/>
    <w:rsid w:val="00E27791"/>
    <w:rsid w:val="00E278FA"/>
    <w:rsid w:val="00E30F2D"/>
    <w:rsid w:val="00E319DB"/>
    <w:rsid w:val="00E31AFC"/>
    <w:rsid w:val="00E3250F"/>
    <w:rsid w:val="00E3409E"/>
    <w:rsid w:val="00E34B25"/>
    <w:rsid w:val="00E34F76"/>
    <w:rsid w:val="00E37BE5"/>
    <w:rsid w:val="00E41A27"/>
    <w:rsid w:val="00E41AB4"/>
    <w:rsid w:val="00E41CA8"/>
    <w:rsid w:val="00E42737"/>
    <w:rsid w:val="00E42B0A"/>
    <w:rsid w:val="00E44906"/>
    <w:rsid w:val="00E45216"/>
    <w:rsid w:val="00E45C77"/>
    <w:rsid w:val="00E4608B"/>
    <w:rsid w:val="00E46D7F"/>
    <w:rsid w:val="00E501D3"/>
    <w:rsid w:val="00E53A01"/>
    <w:rsid w:val="00E564C4"/>
    <w:rsid w:val="00E567C9"/>
    <w:rsid w:val="00E57E1A"/>
    <w:rsid w:val="00E604C4"/>
    <w:rsid w:val="00E60809"/>
    <w:rsid w:val="00E6114B"/>
    <w:rsid w:val="00E61300"/>
    <w:rsid w:val="00E635B9"/>
    <w:rsid w:val="00E64F18"/>
    <w:rsid w:val="00E65D15"/>
    <w:rsid w:val="00E66CD8"/>
    <w:rsid w:val="00E66DD9"/>
    <w:rsid w:val="00E67802"/>
    <w:rsid w:val="00E67EE5"/>
    <w:rsid w:val="00E700AD"/>
    <w:rsid w:val="00E7013A"/>
    <w:rsid w:val="00E72975"/>
    <w:rsid w:val="00E72C6B"/>
    <w:rsid w:val="00E73AB7"/>
    <w:rsid w:val="00E73F64"/>
    <w:rsid w:val="00E74F5D"/>
    <w:rsid w:val="00E76034"/>
    <w:rsid w:val="00E80440"/>
    <w:rsid w:val="00E817E0"/>
    <w:rsid w:val="00E82EE4"/>
    <w:rsid w:val="00E831E7"/>
    <w:rsid w:val="00E843B5"/>
    <w:rsid w:val="00E84A3B"/>
    <w:rsid w:val="00E85307"/>
    <w:rsid w:val="00E85B0A"/>
    <w:rsid w:val="00E87742"/>
    <w:rsid w:val="00E87C98"/>
    <w:rsid w:val="00E907E4"/>
    <w:rsid w:val="00E90A24"/>
    <w:rsid w:val="00E90C34"/>
    <w:rsid w:val="00E919AC"/>
    <w:rsid w:val="00E92E07"/>
    <w:rsid w:val="00E93499"/>
    <w:rsid w:val="00E93CB3"/>
    <w:rsid w:val="00E946A6"/>
    <w:rsid w:val="00E947E4"/>
    <w:rsid w:val="00E9480A"/>
    <w:rsid w:val="00E9616B"/>
    <w:rsid w:val="00E96A29"/>
    <w:rsid w:val="00E96B28"/>
    <w:rsid w:val="00E96F59"/>
    <w:rsid w:val="00E96FE6"/>
    <w:rsid w:val="00E973A1"/>
    <w:rsid w:val="00EA1059"/>
    <w:rsid w:val="00EA1D43"/>
    <w:rsid w:val="00EA4C04"/>
    <w:rsid w:val="00EA4EC9"/>
    <w:rsid w:val="00EA568E"/>
    <w:rsid w:val="00EA5E0F"/>
    <w:rsid w:val="00EA652F"/>
    <w:rsid w:val="00EA6FE4"/>
    <w:rsid w:val="00EA798D"/>
    <w:rsid w:val="00EA7F4C"/>
    <w:rsid w:val="00EB09C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3CC"/>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332"/>
    <w:rsid w:val="00ED6D4A"/>
    <w:rsid w:val="00ED721A"/>
    <w:rsid w:val="00ED738C"/>
    <w:rsid w:val="00ED7918"/>
    <w:rsid w:val="00ED7FD3"/>
    <w:rsid w:val="00EE062C"/>
    <w:rsid w:val="00EE0E5D"/>
    <w:rsid w:val="00EE11C2"/>
    <w:rsid w:val="00EE2A61"/>
    <w:rsid w:val="00EE3663"/>
    <w:rsid w:val="00EE41C4"/>
    <w:rsid w:val="00EE539D"/>
    <w:rsid w:val="00EE5A27"/>
    <w:rsid w:val="00EE6C7E"/>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2BBF"/>
    <w:rsid w:val="00F031EE"/>
    <w:rsid w:val="00F05759"/>
    <w:rsid w:val="00F064EC"/>
    <w:rsid w:val="00F07F39"/>
    <w:rsid w:val="00F10CB9"/>
    <w:rsid w:val="00F110CD"/>
    <w:rsid w:val="00F110D5"/>
    <w:rsid w:val="00F11242"/>
    <w:rsid w:val="00F12351"/>
    <w:rsid w:val="00F15193"/>
    <w:rsid w:val="00F16739"/>
    <w:rsid w:val="00F16DE2"/>
    <w:rsid w:val="00F17F64"/>
    <w:rsid w:val="00F2052B"/>
    <w:rsid w:val="00F22183"/>
    <w:rsid w:val="00F2260F"/>
    <w:rsid w:val="00F242AD"/>
    <w:rsid w:val="00F247F2"/>
    <w:rsid w:val="00F2518F"/>
    <w:rsid w:val="00F252A8"/>
    <w:rsid w:val="00F25CDC"/>
    <w:rsid w:val="00F265F7"/>
    <w:rsid w:val="00F27FA6"/>
    <w:rsid w:val="00F312F8"/>
    <w:rsid w:val="00F323B0"/>
    <w:rsid w:val="00F33DC8"/>
    <w:rsid w:val="00F34444"/>
    <w:rsid w:val="00F3469B"/>
    <w:rsid w:val="00F350B9"/>
    <w:rsid w:val="00F378F1"/>
    <w:rsid w:val="00F403A1"/>
    <w:rsid w:val="00F403DB"/>
    <w:rsid w:val="00F4065A"/>
    <w:rsid w:val="00F4275C"/>
    <w:rsid w:val="00F434B2"/>
    <w:rsid w:val="00F45693"/>
    <w:rsid w:val="00F52339"/>
    <w:rsid w:val="00F5277A"/>
    <w:rsid w:val="00F532E8"/>
    <w:rsid w:val="00F537FF"/>
    <w:rsid w:val="00F54E36"/>
    <w:rsid w:val="00F553B2"/>
    <w:rsid w:val="00F55A9C"/>
    <w:rsid w:val="00F560FE"/>
    <w:rsid w:val="00F56572"/>
    <w:rsid w:val="00F57D37"/>
    <w:rsid w:val="00F60CD6"/>
    <w:rsid w:val="00F60D82"/>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CE"/>
    <w:rsid w:val="00F87AB3"/>
    <w:rsid w:val="00F913DC"/>
    <w:rsid w:val="00F91DDA"/>
    <w:rsid w:val="00F9397A"/>
    <w:rsid w:val="00F93A37"/>
    <w:rsid w:val="00F94182"/>
    <w:rsid w:val="00F9431F"/>
    <w:rsid w:val="00F944D9"/>
    <w:rsid w:val="00F94DB3"/>
    <w:rsid w:val="00F96500"/>
    <w:rsid w:val="00F971B1"/>
    <w:rsid w:val="00FA29AD"/>
    <w:rsid w:val="00FA31E7"/>
    <w:rsid w:val="00FA413A"/>
    <w:rsid w:val="00FA4144"/>
    <w:rsid w:val="00FA4DDF"/>
    <w:rsid w:val="00FA645E"/>
    <w:rsid w:val="00FA6E7F"/>
    <w:rsid w:val="00FA7114"/>
    <w:rsid w:val="00FB052D"/>
    <w:rsid w:val="00FB22D7"/>
    <w:rsid w:val="00FB2379"/>
    <w:rsid w:val="00FB3070"/>
    <w:rsid w:val="00FB35BD"/>
    <w:rsid w:val="00FB3CB7"/>
    <w:rsid w:val="00FB4B8A"/>
    <w:rsid w:val="00FB5152"/>
    <w:rsid w:val="00FB5F8F"/>
    <w:rsid w:val="00FB680E"/>
    <w:rsid w:val="00FB6B73"/>
    <w:rsid w:val="00FB7A0B"/>
    <w:rsid w:val="00FC0065"/>
    <w:rsid w:val="00FC062F"/>
    <w:rsid w:val="00FC0754"/>
    <w:rsid w:val="00FC3AEE"/>
    <w:rsid w:val="00FC6238"/>
    <w:rsid w:val="00FC7951"/>
    <w:rsid w:val="00FC7A13"/>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23D1"/>
    <w:rsid w:val="00FE515A"/>
    <w:rsid w:val="00FE5421"/>
    <w:rsid w:val="00FE5624"/>
    <w:rsid w:val="00FE5D2C"/>
    <w:rsid w:val="00FE5FBF"/>
    <w:rsid w:val="00FE6C25"/>
    <w:rsid w:val="00FF033A"/>
    <w:rsid w:val="00FF0964"/>
    <w:rsid w:val="00FF0F67"/>
    <w:rsid w:val="00FF16F2"/>
    <w:rsid w:val="00FF1F9B"/>
    <w:rsid w:val="00FF2B42"/>
    <w:rsid w:val="00FF2D5B"/>
    <w:rsid w:val="00FF3178"/>
    <w:rsid w:val="00FF3B7F"/>
    <w:rsid w:val="00FF4F92"/>
    <w:rsid w:val="00FF54EB"/>
    <w:rsid w:val="00FF6822"/>
    <w:rsid w:val="00FF6EE6"/>
    <w:rsid w:val="00FF73D0"/>
    <w:rsid w:val="0158BD2B"/>
    <w:rsid w:val="02FBCD9C"/>
    <w:rsid w:val="06964208"/>
    <w:rsid w:val="0B977C48"/>
    <w:rsid w:val="0CCB1163"/>
    <w:rsid w:val="0F51D5E0"/>
    <w:rsid w:val="1002623E"/>
    <w:rsid w:val="10E807B4"/>
    <w:rsid w:val="1188D478"/>
    <w:rsid w:val="141204DA"/>
    <w:rsid w:val="16512788"/>
    <w:rsid w:val="1A219784"/>
    <w:rsid w:val="20C4EB29"/>
    <w:rsid w:val="24009685"/>
    <w:rsid w:val="29E3C676"/>
    <w:rsid w:val="32975CEE"/>
    <w:rsid w:val="37B1BB7F"/>
    <w:rsid w:val="3E61DC49"/>
    <w:rsid w:val="471A8AD5"/>
    <w:rsid w:val="4C5CF7C0"/>
    <w:rsid w:val="4CA170E0"/>
    <w:rsid w:val="51632B8E"/>
    <w:rsid w:val="52551DDD"/>
    <w:rsid w:val="54649D84"/>
    <w:rsid w:val="6D5CB7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 w:type="paragraph" w:customStyle="1" w:styleId="paragraph">
    <w:name w:val="paragraph"/>
    <w:basedOn w:val="Normal"/>
    <w:rsid w:val="008028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8028D8"/>
  </w:style>
  <w:style w:type="character" w:customStyle="1" w:styleId="contextualspellingandgrammarerror">
    <w:name w:val="contextualspellingandgrammarerror"/>
    <w:basedOn w:val="DefaultParagraphFont"/>
    <w:rsid w:val="008028D8"/>
  </w:style>
  <w:style w:type="character" w:customStyle="1" w:styleId="eop">
    <w:name w:val="eop"/>
    <w:basedOn w:val="DefaultParagraphFont"/>
    <w:rsid w:val="008028D8"/>
  </w:style>
  <w:style w:type="character" w:customStyle="1" w:styleId="spellingerror">
    <w:name w:val="spellingerror"/>
    <w:basedOn w:val="DefaultParagraphFont"/>
    <w:rsid w:val="008028D8"/>
  </w:style>
  <w:style w:type="character" w:customStyle="1" w:styleId="advancedproofingissue">
    <w:name w:val="advancedproofingissue"/>
    <w:basedOn w:val="DefaultParagraphFont"/>
    <w:rsid w:val="008028D8"/>
  </w:style>
  <w:style w:type="paragraph" w:customStyle="1" w:styleId="3GPPHeader">
    <w:name w:val="3GPP_Header"/>
    <w:basedOn w:val="Normal"/>
    <w:qFormat/>
    <w:rsid w:val="00510A9C"/>
    <w:pPr>
      <w:tabs>
        <w:tab w:val="left" w:pos="1701"/>
        <w:tab w:val="right" w:pos="9639"/>
      </w:tabs>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3353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884311">
      <w:bodyDiv w:val="1"/>
      <w:marLeft w:val="0"/>
      <w:marRight w:val="0"/>
      <w:marTop w:val="0"/>
      <w:marBottom w:val="0"/>
      <w:divBdr>
        <w:top w:val="none" w:sz="0" w:space="0" w:color="auto"/>
        <w:left w:val="none" w:sz="0" w:space="0" w:color="auto"/>
        <w:bottom w:val="none" w:sz="0" w:space="0" w:color="auto"/>
        <w:right w:val="none" w:sz="0" w:space="0" w:color="auto"/>
      </w:divBdr>
      <w:divsChild>
        <w:div w:id="394089061">
          <w:marLeft w:val="0"/>
          <w:marRight w:val="0"/>
          <w:marTop w:val="0"/>
          <w:marBottom w:val="0"/>
          <w:divBdr>
            <w:top w:val="none" w:sz="0" w:space="0" w:color="auto"/>
            <w:left w:val="none" w:sz="0" w:space="0" w:color="auto"/>
            <w:bottom w:val="none" w:sz="0" w:space="0" w:color="auto"/>
            <w:right w:val="none" w:sz="0" w:space="0" w:color="auto"/>
          </w:divBdr>
        </w:div>
        <w:div w:id="202057898">
          <w:marLeft w:val="0"/>
          <w:marRight w:val="0"/>
          <w:marTop w:val="0"/>
          <w:marBottom w:val="0"/>
          <w:divBdr>
            <w:top w:val="none" w:sz="0" w:space="0" w:color="auto"/>
            <w:left w:val="none" w:sz="0" w:space="0" w:color="auto"/>
            <w:bottom w:val="none" w:sz="0" w:space="0" w:color="auto"/>
            <w:right w:val="none" w:sz="0" w:space="0" w:color="auto"/>
          </w:divBdr>
        </w:div>
        <w:div w:id="576209391">
          <w:marLeft w:val="0"/>
          <w:marRight w:val="0"/>
          <w:marTop w:val="0"/>
          <w:marBottom w:val="0"/>
          <w:divBdr>
            <w:top w:val="none" w:sz="0" w:space="0" w:color="auto"/>
            <w:left w:val="none" w:sz="0" w:space="0" w:color="auto"/>
            <w:bottom w:val="none" w:sz="0" w:space="0" w:color="auto"/>
            <w:right w:val="none" w:sz="0" w:space="0" w:color="auto"/>
          </w:divBdr>
        </w:div>
        <w:div w:id="2104300931">
          <w:marLeft w:val="0"/>
          <w:marRight w:val="0"/>
          <w:marTop w:val="0"/>
          <w:marBottom w:val="0"/>
          <w:divBdr>
            <w:top w:val="none" w:sz="0" w:space="0" w:color="auto"/>
            <w:left w:val="none" w:sz="0" w:space="0" w:color="auto"/>
            <w:bottom w:val="none" w:sz="0" w:space="0" w:color="auto"/>
            <w:right w:val="none" w:sz="0" w:space="0" w:color="auto"/>
          </w:divBdr>
        </w:div>
        <w:div w:id="1369453338">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2596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501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121447">
      <w:bodyDiv w:val="1"/>
      <w:marLeft w:val="0"/>
      <w:marRight w:val="0"/>
      <w:marTop w:val="0"/>
      <w:marBottom w:val="0"/>
      <w:divBdr>
        <w:top w:val="none" w:sz="0" w:space="0" w:color="auto"/>
        <w:left w:val="none" w:sz="0" w:space="0" w:color="auto"/>
        <w:bottom w:val="none" w:sz="0" w:space="0" w:color="auto"/>
        <w:right w:val="none" w:sz="0" w:space="0" w:color="auto"/>
      </w:divBdr>
      <w:divsChild>
        <w:div w:id="887449950">
          <w:marLeft w:val="0"/>
          <w:marRight w:val="0"/>
          <w:marTop w:val="0"/>
          <w:marBottom w:val="0"/>
          <w:divBdr>
            <w:top w:val="none" w:sz="0" w:space="0" w:color="auto"/>
            <w:left w:val="none" w:sz="0" w:space="0" w:color="auto"/>
            <w:bottom w:val="none" w:sz="0" w:space="0" w:color="auto"/>
            <w:right w:val="none" w:sz="0" w:space="0" w:color="auto"/>
          </w:divBdr>
          <w:divsChild>
            <w:div w:id="1619919513">
              <w:marLeft w:val="0"/>
              <w:marRight w:val="0"/>
              <w:marTop w:val="0"/>
              <w:marBottom w:val="0"/>
              <w:divBdr>
                <w:top w:val="none" w:sz="0" w:space="0" w:color="auto"/>
                <w:left w:val="none" w:sz="0" w:space="0" w:color="auto"/>
                <w:bottom w:val="none" w:sz="0" w:space="0" w:color="auto"/>
                <w:right w:val="none" w:sz="0" w:space="0" w:color="auto"/>
              </w:divBdr>
            </w:div>
            <w:div w:id="891573549">
              <w:marLeft w:val="0"/>
              <w:marRight w:val="0"/>
              <w:marTop w:val="0"/>
              <w:marBottom w:val="0"/>
              <w:divBdr>
                <w:top w:val="none" w:sz="0" w:space="0" w:color="auto"/>
                <w:left w:val="none" w:sz="0" w:space="0" w:color="auto"/>
                <w:bottom w:val="none" w:sz="0" w:space="0" w:color="auto"/>
                <w:right w:val="none" w:sz="0" w:space="0" w:color="auto"/>
              </w:divBdr>
            </w:div>
            <w:div w:id="370611007">
              <w:marLeft w:val="0"/>
              <w:marRight w:val="0"/>
              <w:marTop w:val="0"/>
              <w:marBottom w:val="0"/>
              <w:divBdr>
                <w:top w:val="none" w:sz="0" w:space="0" w:color="auto"/>
                <w:left w:val="none" w:sz="0" w:space="0" w:color="auto"/>
                <w:bottom w:val="none" w:sz="0" w:space="0" w:color="auto"/>
                <w:right w:val="none" w:sz="0" w:space="0" w:color="auto"/>
              </w:divBdr>
            </w:div>
            <w:div w:id="1576165137">
              <w:marLeft w:val="0"/>
              <w:marRight w:val="0"/>
              <w:marTop w:val="0"/>
              <w:marBottom w:val="0"/>
              <w:divBdr>
                <w:top w:val="none" w:sz="0" w:space="0" w:color="auto"/>
                <w:left w:val="none" w:sz="0" w:space="0" w:color="auto"/>
                <w:bottom w:val="none" w:sz="0" w:space="0" w:color="auto"/>
                <w:right w:val="none" w:sz="0" w:space="0" w:color="auto"/>
              </w:divBdr>
            </w:div>
            <w:div w:id="110058504">
              <w:marLeft w:val="0"/>
              <w:marRight w:val="0"/>
              <w:marTop w:val="0"/>
              <w:marBottom w:val="0"/>
              <w:divBdr>
                <w:top w:val="none" w:sz="0" w:space="0" w:color="auto"/>
                <w:left w:val="none" w:sz="0" w:space="0" w:color="auto"/>
                <w:bottom w:val="none" w:sz="0" w:space="0" w:color="auto"/>
                <w:right w:val="none" w:sz="0" w:space="0" w:color="auto"/>
              </w:divBdr>
            </w:div>
          </w:divsChild>
        </w:div>
        <w:div w:id="1605309541">
          <w:marLeft w:val="0"/>
          <w:marRight w:val="0"/>
          <w:marTop w:val="0"/>
          <w:marBottom w:val="0"/>
          <w:divBdr>
            <w:top w:val="none" w:sz="0" w:space="0" w:color="auto"/>
            <w:left w:val="none" w:sz="0" w:space="0" w:color="auto"/>
            <w:bottom w:val="none" w:sz="0" w:space="0" w:color="auto"/>
            <w:right w:val="none" w:sz="0" w:space="0" w:color="auto"/>
          </w:divBdr>
        </w:div>
        <w:div w:id="2039696887">
          <w:marLeft w:val="0"/>
          <w:marRight w:val="0"/>
          <w:marTop w:val="0"/>
          <w:marBottom w:val="0"/>
          <w:divBdr>
            <w:top w:val="none" w:sz="0" w:space="0" w:color="auto"/>
            <w:left w:val="none" w:sz="0" w:space="0" w:color="auto"/>
            <w:bottom w:val="none" w:sz="0" w:space="0" w:color="auto"/>
            <w:right w:val="none" w:sz="0" w:space="0" w:color="auto"/>
          </w:divBdr>
        </w:div>
        <w:div w:id="779644005">
          <w:marLeft w:val="0"/>
          <w:marRight w:val="0"/>
          <w:marTop w:val="0"/>
          <w:marBottom w:val="0"/>
          <w:divBdr>
            <w:top w:val="none" w:sz="0" w:space="0" w:color="auto"/>
            <w:left w:val="none" w:sz="0" w:space="0" w:color="auto"/>
            <w:bottom w:val="none" w:sz="0" w:space="0" w:color="auto"/>
            <w:right w:val="none" w:sz="0" w:space="0" w:color="auto"/>
          </w:divBdr>
        </w:div>
        <w:div w:id="283461630">
          <w:marLeft w:val="0"/>
          <w:marRight w:val="0"/>
          <w:marTop w:val="0"/>
          <w:marBottom w:val="0"/>
          <w:divBdr>
            <w:top w:val="none" w:sz="0" w:space="0" w:color="auto"/>
            <w:left w:val="none" w:sz="0" w:space="0" w:color="auto"/>
            <w:bottom w:val="none" w:sz="0" w:space="0" w:color="auto"/>
            <w:right w:val="none" w:sz="0" w:space="0" w:color="auto"/>
          </w:divBdr>
        </w:div>
        <w:div w:id="1895193261">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1026923">
      <w:bodyDiv w:val="1"/>
      <w:marLeft w:val="0"/>
      <w:marRight w:val="0"/>
      <w:marTop w:val="0"/>
      <w:marBottom w:val="0"/>
      <w:divBdr>
        <w:top w:val="none" w:sz="0" w:space="0" w:color="auto"/>
        <w:left w:val="none" w:sz="0" w:space="0" w:color="auto"/>
        <w:bottom w:val="none" w:sz="0" w:space="0" w:color="auto"/>
        <w:right w:val="none" w:sz="0" w:space="0" w:color="auto"/>
      </w:divBdr>
      <w:divsChild>
        <w:div w:id="686179154">
          <w:marLeft w:val="0"/>
          <w:marRight w:val="0"/>
          <w:marTop w:val="0"/>
          <w:marBottom w:val="0"/>
          <w:divBdr>
            <w:top w:val="none" w:sz="0" w:space="0" w:color="auto"/>
            <w:left w:val="none" w:sz="0" w:space="0" w:color="auto"/>
            <w:bottom w:val="none" w:sz="0" w:space="0" w:color="auto"/>
            <w:right w:val="none" w:sz="0" w:space="0" w:color="auto"/>
          </w:divBdr>
          <w:divsChild>
            <w:div w:id="1808933888">
              <w:marLeft w:val="0"/>
              <w:marRight w:val="0"/>
              <w:marTop w:val="0"/>
              <w:marBottom w:val="0"/>
              <w:divBdr>
                <w:top w:val="none" w:sz="0" w:space="0" w:color="auto"/>
                <w:left w:val="none" w:sz="0" w:space="0" w:color="auto"/>
                <w:bottom w:val="none" w:sz="0" w:space="0" w:color="auto"/>
                <w:right w:val="none" w:sz="0" w:space="0" w:color="auto"/>
              </w:divBdr>
            </w:div>
          </w:divsChild>
        </w:div>
        <w:div w:id="1514684286">
          <w:marLeft w:val="0"/>
          <w:marRight w:val="0"/>
          <w:marTop w:val="0"/>
          <w:marBottom w:val="0"/>
          <w:divBdr>
            <w:top w:val="none" w:sz="0" w:space="0" w:color="auto"/>
            <w:left w:val="none" w:sz="0" w:space="0" w:color="auto"/>
            <w:bottom w:val="none" w:sz="0" w:space="0" w:color="auto"/>
            <w:right w:val="none" w:sz="0" w:space="0" w:color="auto"/>
          </w:divBdr>
          <w:divsChild>
            <w:div w:id="1308775836">
              <w:marLeft w:val="0"/>
              <w:marRight w:val="0"/>
              <w:marTop w:val="0"/>
              <w:marBottom w:val="0"/>
              <w:divBdr>
                <w:top w:val="none" w:sz="0" w:space="0" w:color="auto"/>
                <w:left w:val="none" w:sz="0" w:space="0" w:color="auto"/>
                <w:bottom w:val="none" w:sz="0" w:space="0" w:color="auto"/>
                <w:right w:val="none" w:sz="0" w:space="0" w:color="auto"/>
              </w:divBdr>
            </w:div>
          </w:divsChild>
        </w:div>
        <w:div w:id="9375411">
          <w:marLeft w:val="0"/>
          <w:marRight w:val="0"/>
          <w:marTop w:val="0"/>
          <w:marBottom w:val="0"/>
          <w:divBdr>
            <w:top w:val="none" w:sz="0" w:space="0" w:color="auto"/>
            <w:left w:val="none" w:sz="0" w:space="0" w:color="auto"/>
            <w:bottom w:val="none" w:sz="0" w:space="0" w:color="auto"/>
            <w:right w:val="none" w:sz="0" w:space="0" w:color="auto"/>
          </w:divBdr>
          <w:divsChild>
            <w:div w:id="1799029446">
              <w:marLeft w:val="0"/>
              <w:marRight w:val="0"/>
              <w:marTop w:val="0"/>
              <w:marBottom w:val="0"/>
              <w:divBdr>
                <w:top w:val="none" w:sz="0" w:space="0" w:color="auto"/>
                <w:left w:val="none" w:sz="0" w:space="0" w:color="auto"/>
                <w:bottom w:val="none" w:sz="0" w:space="0" w:color="auto"/>
                <w:right w:val="none" w:sz="0" w:space="0" w:color="auto"/>
              </w:divBdr>
            </w:div>
          </w:divsChild>
        </w:div>
        <w:div w:id="1421027735">
          <w:marLeft w:val="0"/>
          <w:marRight w:val="0"/>
          <w:marTop w:val="0"/>
          <w:marBottom w:val="0"/>
          <w:divBdr>
            <w:top w:val="none" w:sz="0" w:space="0" w:color="auto"/>
            <w:left w:val="none" w:sz="0" w:space="0" w:color="auto"/>
            <w:bottom w:val="none" w:sz="0" w:space="0" w:color="auto"/>
            <w:right w:val="none" w:sz="0" w:space="0" w:color="auto"/>
          </w:divBdr>
          <w:divsChild>
            <w:div w:id="2063942583">
              <w:marLeft w:val="0"/>
              <w:marRight w:val="0"/>
              <w:marTop w:val="0"/>
              <w:marBottom w:val="0"/>
              <w:divBdr>
                <w:top w:val="none" w:sz="0" w:space="0" w:color="auto"/>
                <w:left w:val="none" w:sz="0" w:space="0" w:color="auto"/>
                <w:bottom w:val="none" w:sz="0" w:space="0" w:color="auto"/>
                <w:right w:val="none" w:sz="0" w:space="0" w:color="auto"/>
              </w:divBdr>
            </w:div>
          </w:divsChild>
        </w:div>
        <w:div w:id="1113593529">
          <w:marLeft w:val="0"/>
          <w:marRight w:val="0"/>
          <w:marTop w:val="0"/>
          <w:marBottom w:val="0"/>
          <w:divBdr>
            <w:top w:val="none" w:sz="0" w:space="0" w:color="auto"/>
            <w:left w:val="none" w:sz="0" w:space="0" w:color="auto"/>
            <w:bottom w:val="none" w:sz="0" w:space="0" w:color="auto"/>
            <w:right w:val="none" w:sz="0" w:space="0" w:color="auto"/>
          </w:divBdr>
          <w:divsChild>
            <w:div w:id="356126569">
              <w:marLeft w:val="0"/>
              <w:marRight w:val="0"/>
              <w:marTop w:val="0"/>
              <w:marBottom w:val="0"/>
              <w:divBdr>
                <w:top w:val="none" w:sz="0" w:space="0" w:color="auto"/>
                <w:left w:val="none" w:sz="0" w:space="0" w:color="auto"/>
                <w:bottom w:val="none" w:sz="0" w:space="0" w:color="auto"/>
                <w:right w:val="none" w:sz="0" w:space="0" w:color="auto"/>
              </w:divBdr>
            </w:div>
          </w:divsChild>
        </w:div>
        <w:div w:id="1539858059">
          <w:marLeft w:val="0"/>
          <w:marRight w:val="0"/>
          <w:marTop w:val="0"/>
          <w:marBottom w:val="0"/>
          <w:divBdr>
            <w:top w:val="none" w:sz="0" w:space="0" w:color="auto"/>
            <w:left w:val="none" w:sz="0" w:space="0" w:color="auto"/>
            <w:bottom w:val="none" w:sz="0" w:space="0" w:color="auto"/>
            <w:right w:val="none" w:sz="0" w:space="0" w:color="auto"/>
          </w:divBdr>
          <w:divsChild>
            <w:div w:id="1006714126">
              <w:marLeft w:val="0"/>
              <w:marRight w:val="0"/>
              <w:marTop w:val="0"/>
              <w:marBottom w:val="0"/>
              <w:divBdr>
                <w:top w:val="none" w:sz="0" w:space="0" w:color="auto"/>
                <w:left w:val="none" w:sz="0" w:space="0" w:color="auto"/>
                <w:bottom w:val="none" w:sz="0" w:space="0" w:color="auto"/>
                <w:right w:val="none" w:sz="0" w:space="0" w:color="auto"/>
              </w:divBdr>
            </w:div>
          </w:divsChild>
        </w:div>
        <w:div w:id="1856648155">
          <w:marLeft w:val="0"/>
          <w:marRight w:val="0"/>
          <w:marTop w:val="0"/>
          <w:marBottom w:val="0"/>
          <w:divBdr>
            <w:top w:val="none" w:sz="0" w:space="0" w:color="auto"/>
            <w:left w:val="none" w:sz="0" w:space="0" w:color="auto"/>
            <w:bottom w:val="none" w:sz="0" w:space="0" w:color="auto"/>
            <w:right w:val="none" w:sz="0" w:space="0" w:color="auto"/>
          </w:divBdr>
          <w:divsChild>
            <w:div w:id="420178571">
              <w:marLeft w:val="0"/>
              <w:marRight w:val="0"/>
              <w:marTop w:val="0"/>
              <w:marBottom w:val="0"/>
              <w:divBdr>
                <w:top w:val="none" w:sz="0" w:space="0" w:color="auto"/>
                <w:left w:val="none" w:sz="0" w:space="0" w:color="auto"/>
                <w:bottom w:val="none" w:sz="0" w:space="0" w:color="auto"/>
                <w:right w:val="none" w:sz="0" w:space="0" w:color="auto"/>
              </w:divBdr>
            </w:div>
          </w:divsChild>
        </w:div>
        <w:div w:id="2051684325">
          <w:marLeft w:val="0"/>
          <w:marRight w:val="0"/>
          <w:marTop w:val="0"/>
          <w:marBottom w:val="0"/>
          <w:divBdr>
            <w:top w:val="none" w:sz="0" w:space="0" w:color="auto"/>
            <w:left w:val="none" w:sz="0" w:space="0" w:color="auto"/>
            <w:bottom w:val="none" w:sz="0" w:space="0" w:color="auto"/>
            <w:right w:val="none" w:sz="0" w:space="0" w:color="auto"/>
          </w:divBdr>
          <w:divsChild>
            <w:div w:id="2133016160">
              <w:marLeft w:val="0"/>
              <w:marRight w:val="0"/>
              <w:marTop w:val="0"/>
              <w:marBottom w:val="0"/>
              <w:divBdr>
                <w:top w:val="none" w:sz="0" w:space="0" w:color="auto"/>
                <w:left w:val="none" w:sz="0" w:space="0" w:color="auto"/>
                <w:bottom w:val="none" w:sz="0" w:space="0" w:color="auto"/>
                <w:right w:val="none" w:sz="0" w:space="0" w:color="auto"/>
              </w:divBdr>
            </w:div>
          </w:divsChild>
        </w:div>
        <w:div w:id="821889305">
          <w:marLeft w:val="0"/>
          <w:marRight w:val="0"/>
          <w:marTop w:val="0"/>
          <w:marBottom w:val="0"/>
          <w:divBdr>
            <w:top w:val="none" w:sz="0" w:space="0" w:color="auto"/>
            <w:left w:val="none" w:sz="0" w:space="0" w:color="auto"/>
            <w:bottom w:val="none" w:sz="0" w:space="0" w:color="auto"/>
            <w:right w:val="none" w:sz="0" w:space="0" w:color="auto"/>
          </w:divBdr>
          <w:divsChild>
            <w:div w:id="1928689260">
              <w:marLeft w:val="0"/>
              <w:marRight w:val="0"/>
              <w:marTop w:val="0"/>
              <w:marBottom w:val="0"/>
              <w:divBdr>
                <w:top w:val="none" w:sz="0" w:space="0" w:color="auto"/>
                <w:left w:val="none" w:sz="0" w:space="0" w:color="auto"/>
                <w:bottom w:val="none" w:sz="0" w:space="0" w:color="auto"/>
                <w:right w:val="none" w:sz="0" w:space="0" w:color="auto"/>
              </w:divBdr>
            </w:div>
          </w:divsChild>
        </w:div>
        <w:div w:id="56827346">
          <w:marLeft w:val="0"/>
          <w:marRight w:val="0"/>
          <w:marTop w:val="0"/>
          <w:marBottom w:val="0"/>
          <w:divBdr>
            <w:top w:val="none" w:sz="0" w:space="0" w:color="auto"/>
            <w:left w:val="none" w:sz="0" w:space="0" w:color="auto"/>
            <w:bottom w:val="none" w:sz="0" w:space="0" w:color="auto"/>
            <w:right w:val="none" w:sz="0" w:space="0" w:color="auto"/>
          </w:divBdr>
          <w:divsChild>
            <w:div w:id="855548">
              <w:marLeft w:val="0"/>
              <w:marRight w:val="0"/>
              <w:marTop w:val="0"/>
              <w:marBottom w:val="0"/>
              <w:divBdr>
                <w:top w:val="none" w:sz="0" w:space="0" w:color="auto"/>
                <w:left w:val="none" w:sz="0" w:space="0" w:color="auto"/>
                <w:bottom w:val="none" w:sz="0" w:space="0" w:color="auto"/>
                <w:right w:val="none" w:sz="0" w:space="0" w:color="auto"/>
              </w:divBdr>
            </w:div>
          </w:divsChild>
        </w:div>
        <w:div w:id="417556073">
          <w:marLeft w:val="0"/>
          <w:marRight w:val="0"/>
          <w:marTop w:val="0"/>
          <w:marBottom w:val="0"/>
          <w:divBdr>
            <w:top w:val="none" w:sz="0" w:space="0" w:color="auto"/>
            <w:left w:val="none" w:sz="0" w:space="0" w:color="auto"/>
            <w:bottom w:val="none" w:sz="0" w:space="0" w:color="auto"/>
            <w:right w:val="none" w:sz="0" w:space="0" w:color="auto"/>
          </w:divBdr>
          <w:divsChild>
            <w:div w:id="385371986">
              <w:marLeft w:val="0"/>
              <w:marRight w:val="0"/>
              <w:marTop w:val="0"/>
              <w:marBottom w:val="0"/>
              <w:divBdr>
                <w:top w:val="none" w:sz="0" w:space="0" w:color="auto"/>
                <w:left w:val="none" w:sz="0" w:space="0" w:color="auto"/>
                <w:bottom w:val="none" w:sz="0" w:space="0" w:color="auto"/>
                <w:right w:val="none" w:sz="0" w:space="0" w:color="auto"/>
              </w:divBdr>
            </w:div>
          </w:divsChild>
        </w:div>
        <w:div w:id="536553338">
          <w:marLeft w:val="0"/>
          <w:marRight w:val="0"/>
          <w:marTop w:val="0"/>
          <w:marBottom w:val="0"/>
          <w:divBdr>
            <w:top w:val="none" w:sz="0" w:space="0" w:color="auto"/>
            <w:left w:val="none" w:sz="0" w:space="0" w:color="auto"/>
            <w:bottom w:val="none" w:sz="0" w:space="0" w:color="auto"/>
            <w:right w:val="none" w:sz="0" w:space="0" w:color="auto"/>
          </w:divBdr>
          <w:divsChild>
            <w:div w:id="33582065">
              <w:marLeft w:val="0"/>
              <w:marRight w:val="0"/>
              <w:marTop w:val="0"/>
              <w:marBottom w:val="0"/>
              <w:divBdr>
                <w:top w:val="none" w:sz="0" w:space="0" w:color="auto"/>
                <w:left w:val="none" w:sz="0" w:space="0" w:color="auto"/>
                <w:bottom w:val="none" w:sz="0" w:space="0" w:color="auto"/>
                <w:right w:val="none" w:sz="0" w:space="0" w:color="auto"/>
              </w:divBdr>
            </w:div>
          </w:divsChild>
        </w:div>
        <w:div w:id="852262585">
          <w:marLeft w:val="0"/>
          <w:marRight w:val="0"/>
          <w:marTop w:val="0"/>
          <w:marBottom w:val="0"/>
          <w:divBdr>
            <w:top w:val="none" w:sz="0" w:space="0" w:color="auto"/>
            <w:left w:val="none" w:sz="0" w:space="0" w:color="auto"/>
            <w:bottom w:val="none" w:sz="0" w:space="0" w:color="auto"/>
            <w:right w:val="none" w:sz="0" w:space="0" w:color="auto"/>
          </w:divBdr>
          <w:divsChild>
            <w:div w:id="1955792324">
              <w:marLeft w:val="0"/>
              <w:marRight w:val="0"/>
              <w:marTop w:val="0"/>
              <w:marBottom w:val="0"/>
              <w:divBdr>
                <w:top w:val="none" w:sz="0" w:space="0" w:color="auto"/>
                <w:left w:val="none" w:sz="0" w:space="0" w:color="auto"/>
                <w:bottom w:val="none" w:sz="0" w:space="0" w:color="auto"/>
                <w:right w:val="none" w:sz="0" w:space="0" w:color="auto"/>
              </w:divBdr>
            </w:div>
          </w:divsChild>
        </w:div>
        <w:div w:id="1847206939">
          <w:marLeft w:val="0"/>
          <w:marRight w:val="0"/>
          <w:marTop w:val="0"/>
          <w:marBottom w:val="0"/>
          <w:divBdr>
            <w:top w:val="none" w:sz="0" w:space="0" w:color="auto"/>
            <w:left w:val="none" w:sz="0" w:space="0" w:color="auto"/>
            <w:bottom w:val="none" w:sz="0" w:space="0" w:color="auto"/>
            <w:right w:val="none" w:sz="0" w:space="0" w:color="auto"/>
          </w:divBdr>
          <w:divsChild>
            <w:div w:id="465976791">
              <w:marLeft w:val="0"/>
              <w:marRight w:val="0"/>
              <w:marTop w:val="0"/>
              <w:marBottom w:val="0"/>
              <w:divBdr>
                <w:top w:val="none" w:sz="0" w:space="0" w:color="auto"/>
                <w:left w:val="none" w:sz="0" w:space="0" w:color="auto"/>
                <w:bottom w:val="none" w:sz="0" w:space="0" w:color="auto"/>
                <w:right w:val="none" w:sz="0" w:space="0" w:color="auto"/>
              </w:divBdr>
            </w:div>
          </w:divsChild>
        </w:div>
        <w:div w:id="1177306392">
          <w:marLeft w:val="0"/>
          <w:marRight w:val="0"/>
          <w:marTop w:val="0"/>
          <w:marBottom w:val="0"/>
          <w:divBdr>
            <w:top w:val="none" w:sz="0" w:space="0" w:color="auto"/>
            <w:left w:val="none" w:sz="0" w:space="0" w:color="auto"/>
            <w:bottom w:val="none" w:sz="0" w:space="0" w:color="auto"/>
            <w:right w:val="none" w:sz="0" w:space="0" w:color="auto"/>
          </w:divBdr>
          <w:divsChild>
            <w:div w:id="547958252">
              <w:marLeft w:val="0"/>
              <w:marRight w:val="0"/>
              <w:marTop w:val="0"/>
              <w:marBottom w:val="0"/>
              <w:divBdr>
                <w:top w:val="none" w:sz="0" w:space="0" w:color="auto"/>
                <w:left w:val="none" w:sz="0" w:space="0" w:color="auto"/>
                <w:bottom w:val="none" w:sz="0" w:space="0" w:color="auto"/>
                <w:right w:val="none" w:sz="0" w:space="0" w:color="auto"/>
              </w:divBdr>
            </w:div>
          </w:divsChild>
        </w:div>
        <w:div w:id="437721552">
          <w:marLeft w:val="0"/>
          <w:marRight w:val="0"/>
          <w:marTop w:val="0"/>
          <w:marBottom w:val="0"/>
          <w:divBdr>
            <w:top w:val="none" w:sz="0" w:space="0" w:color="auto"/>
            <w:left w:val="none" w:sz="0" w:space="0" w:color="auto"/>
            <w:bottom w:val="none" w:sz="0" w:space="0" w:color="auto"/>
            <w:right w:val="none" w:sz="0" w:space="0" w:color="auto"/>
          </w:divBdr>
          <w:divsChild>
            <w:div w:id="1394812004">
              <w:marLeft w:val="0"/>
              <w:marRight w:val="0"/>
              <w:marTop w:val="0"/>
              <w:marBottom w:val="0"/>
              <w:divBdr>
                <w:top w:val="none" w:sz="0" w:space="0" w:color="auto"/>
                <w:left w:val="none" w:sz="0" w:space="0" w:color="auto"/>
                <w:bottom w:val="none" w:sz="0" w:space="0" w:color="auto"/>
                <w:right w:val="none" w:sz="0" w:space="0" w:color="auto"/>
              </w:divBdr>
            </w:div>
          </w:divsChild>
        </w:div>
        <w:div w:id="1019425950">
          <w:marLeft w:val="0"/>
          <w:marRight w:val="0"/>
          <w:marTop w:val="0"/>
          <w:marBottom w:val="0"/>
          <w:divBdr>
            <w:top w:val="none" w:sz="0" w:space="0" w:color="auto"/>
            <w:left w:val="none" w:sz="0" w:space="0" w:color="auto"/>
            <w:bottom w:val="none" w:sz="0" w:space="0" w:color="auto"/>
            <w:right w:val="none" w:sz="0" w:space="0" w:color="auto"/>
          </w:divBdr>
          <w:divsChild>
            <w:div w:id="1652833836">
              <w:marLeft w:val="0"/>
              <w:marRight w:val="0"/>
              <w:marTop w:val="0"/>
              <w:marBottom w:val="0"/>
              <w:divBdr>
                <w:top w:val="none" w:sz="0" w:space="0" w:color="auto"/>
                <w:left w:val="none" w:sz="0" w:space="0" w:color="auto"/>
                <w:bottom w:val="none" w:sz="0" w:space="0" w:color="auto"/>
                <w:right w:val="none" w:sz="0" w:space="0" w:color="auto"/>
              </w:divBdr>
            </w:div>
          </w:divsChild>
        </w:div>
        <w:div w:id="162822121">
          <w:marLeft w:val="0"/>
          <w:marRight w:val="0"/>
          <w:marTop w:val="0"/>
          <w:marBottom w:val="0"/>
          <w:divBdr>
            <w:top w:val="none" w:sz="0" w:space="0" w:color="auto"/>
            <w:left w:val="none" w:sz="0" w:space="0" w:color="auto"/>
            <w:bottom w:val="none" w:sz="0" w:space="0" w:color="auto"/>
            <w:right w:val="none" w:sz="0" w:space="0" w:color="auto"/>
          </w:divBdr>
          <w:divsChild>
            <w:div w:id="797724164">
              <w:marLeft w:val="0"/>
              <w:marRight w:val="0"/>
              <w:marTop w:val="0"/>
              <w:marBottom w:val="0"/>
              <w:divBdr>
                <w:top w:val="none" w:sz="0" w:space="0" w:color="auto"/>
                <w:left w:val="none" w:sz="0" w:space="0" w:color="auto"/>
                <w:bottom w:val="none" w:sz="0" w:space="0" w:color="auto"/>
                <w:right w:val="none" w:sz="0" w:space="0" w:color="auto"/>
              </w:divBdr>
            </w:div>
          </w:divsChild>
        </w:div>
        <w:div w:id="619646366">
          <w:marLeft w:val="0"/>
          <w:marRight w:val="0"/>
          <w:marTop w:val="0"/>
          <w:marBottom w:val="0"/>
          <w:divBdr>
            <w:top w:val="none" w:sz="0" w:space="0" w:color="auto"/>
            <w:left w:val="none" w:sz="0" w:space="0" w:color="auto"/>
            <w:bottom w:val="none" w:sz="0" w:space="0" w:color="auto"/>
            <w:right w:val="none" w:sz="0" w:space="0" w:color="auto"/>
          </w:divBdr>
          <w:divsChild>
            <w:div w:id="1452895377">
              <w:marLeft w:val="0"/>
              <w:marRight w:val="0"/>
              <w:marTop w:val="0"/>
              <w:marBottom w:val="0"/>
              <w:divBdr>
                <w:top w:val="none" w:sz="0" w:space="0" w:color="auto"/>
                <w:left w:val="none" w:sz="0" w:space="0" w:color="auto"/>
                <w:bottom w:val="none" w:sz="0" w:space="0" w:color="auto"/>
                <w:right w:val="none" w:sz="0" w:space="0" w:color="auto"/>
              </w:divBdr>
            </w:div>
          </w:divsChild>
        </w:div>
        <w:div w:id="1817646341">
          <w:marLeft w:val="0"/>
          <w:marRight w:val="0"/>
          <w:marTop w:val="0"/>
          <w:marBottom w:val="0"/>
          <w:divBdr>
            <w:top w:val="none" w:sz="0" w:space="0" w:color="auto"/>
            <w:left w:val="none" w:sz="0" w:space="0" w:color="auto"/>
            <w:bottom w:val="none" w:sz="0" w:space="0" w:color="auto"/>
            <w:right w:val="none" w:sz="0" w:space="0" w:color="auto"/>
          </w:divBdr>
          <w:divsChild>
            <w:div w:id="1946887397">
              <w:marLeft w:val="0"/>
              <w:marRight w:val="0"/>
              <w:marTop w:val="0"/>
              <w:marBottom w:val="0"/>
              <w:divBdr>
                <w:top w:val="none" w:sz="0" w:space="0" w:color="auto"/>
                <w:left w:val="none" w:sz="0" w:space="0" w:color="auto"/>
                <w:bottom w:val="none" w:sz="0" w:space="0" w:color="auto"/>
                <w:right w:val="none" w:sz="0" w:space="0" w:color="auto"/>
              </w:divBdr>
            </w:div>
          </w:divsChild>
        </w:div>
        <w:div w:id="1662388301">
          <w:marLeft w:val="0"/>
          <w:marRight w:val="0"/>
          <w:marTop w:val="0"/>
          <w:marBottom w:val="0"/>
          <w:divBdr>
            <w:top w:val="none" w:sz="0" w:space="0" w:color="auto"/>
            <w:left w:val="none" w:sz="0" w:space="0" w:color="auto"/>
            <w:bottom w:val="none" w:sz="0" w:space="0" w:color="auto"/>
            <w:right w:val="none" w:sz="0" w:space="0" w:color="auto"/>
          </w:divBdr>
          <w:divsChild>
            <w:div w:id="2047943548">
              <w:marLeft w:val="0"/>
              <w:marRight w:val="0"/>
              <w:marTop w:val="0"/>
              <w:marBottom w:val="0"/>
              <w:divBdr>
                <w:top w:val="none" w:sz="0" w:space="0" w:color="auto"/>
                <w:left w:val="none" w:sz="0" w:space="0" w:color="auto"/>
                <w:bottom w:val="none" w:sz="0" w:space="0" w:color="auto"/>
                <w:right w:val="none" w:sz="0" w:space="0" w:color="auto"/>
              </w:divBdr>
            </w:div>
          </w:divsChild>
        </w:div>
        <w:div w:id="78068253">
          <w:marLeft w:val="0"/>
          <w:marRight w:val="0"/>
          <w:marTop w:val="0"/>
          <w:marBottom w:val="0"/>
          <w:divBdr>
            <w:top w:val="none" w:sz="0" w:space="0" w:color="auto"/>
            <w:left w:val="none" w:sz="0" w:space="0" w:color="auto"/>
            <w:bottom w:val="none" w:sz="0" w:space="0" w:color="auto"/>
            <w:right w:val="none" w:sz="0" w:space="0" w:color="auto"/>
          </w:divBdr>
          <w:divsChild>
            <w:div w:id="1921138219">
              <w:marLeft w:val="0"/>
              <w:marRight w:val="0"/>
              <w:marTop w:val="0"/>
              <w:marBottom w:val="0"/>
              <w:divBdr>
                <w:top w:val="none" w:sz="0" w:space="0" w:color="auto"/>
                <w:left w:val="none" w:sz="0" w:space="0" w:color="auto"/>
                <w:bottom w:val="none" w:sz="0" w:space="0" w:color="auto"/>
                <w:right w:val="none" w:sz="0" w:space="0" w:color="auto"/>
              </w:divBdr>
            </w:div>
          </w:divsChild>
        </w:div>
        <w:div w:id="1067730276">
          <w:marLeft w:val="0"/>
          <w:marRight w:val="0"/>
          <w:marTop w:val="0"/>
          <w:marBottom w:val="0"/>
          <w:divBdr>
            <w:top w:val="none" w:sz="0" w:space="0" w:color="auto"/>
            <w:left w:val="none" w:sz="0" w:space="0" w:color="auto"/>
            <w:bottom w:val="none" w:sz="0" w:space="0" w:color="auto"/>
            <w:right w:val="none" w:sz="0" w:space="0" w:color="auto"/>
          </w:divBdr>
          <w:divsChild>
            <w:div w:id="140464969">
              <w:marLeft w:val="0"/>
              <w:marRight w:val="0"/>
              <w:marTop w:val="0"/>
              <w:marBottom w:val="0"/>
              <w:divBdr>
                <w:top w:val="none" w:sz="0" w:space="0" w:color="auto"/>
                <w:left w:val="none" w:sz="0" w:space="0" w:color="auto"/>
                <w:bottom w:val="none" w:sz="0" w:space="0" w:color="auto"/>
                <w:right w:val="none" w:sz="0" w:space="0" w:color="auto"/>
              </w:divBdr>
            </w:div>
          </w:divsChild>
        </w:div>
        <w:div w:id="1823697128">
          <w:marLeft w:val="0"/>
          <w:marRight w:val="0"/>
          <w:marTop w:val="0"/>
          <w:marBottom w:val="0"/>
          <w:divBdr>
            <w:top w:val="none" w:sz="0" w:space="0" w:color="auto"/>
            <w:left w:val="none" w:sz="0" w:space="0" w:color="auto"/>
            <w:bottom w:val="none" w:sz="0" w:space="0" w:color="auto"/>
            <w:right w:val="none" w:sz="0" w:space="0" w:color="auto"/>
          </w:divBdr>
          <w:divsChild>
            <w:div w:id="744184945">
              <w:marLeft w:val="0"/>
              <w:marRight w:val="0"/>
              <w:marTop w:val="0"/>
              <w:marBottom w:val="0"/>
              <w:divBdr>
                <w:top w:val="none" w:sz="0" w:space="0" w:color="auto"/>
                <w:left w:val="none" w:sz="0" w:space="0" w:color="auto"/>
                <w:bottom w:val="none" w:sz="0" w:space="0" w:color="auto"/>
                <w:right w:val="none" w:sz="0" w:space="0" w:color="auto"/>
              </w:divBdr>
            </w:div>
          </w:divsChild>
        </w:div>
        <w:div w:id="1192495817">
          <w:marLeft w:val="0"/>
          <w:marRight w:val="0"/>
          <w:marTop w:val="0"/>
          <w:marBottom w:val="0"/>
          <w:divBdr>
            <w:top w:val="none" w:sz="0" w:space="0" w:color="auto"/>
            <w:left w:val="none" w:sz="0" w:space="0" w:color="auto"/>
            <w:bottom w:val="none" w:sz="0" w:space="0" w:color="auto"/>
            <w:right w:val="none" w:sz="0" w:space="0" w:color="auto"/>
          </w:divBdr>
          <w:divsChild>
            <w:div w:id="1146901228">
              <w:marLeft w:val="0"/>
              <w:marRight w:val="0"/>
              <w:marTop w:val="0"/>
              <w:marBottom w:val="0"/>
              <w:divBdr>
                <w:top w:val="none" w:sz="0" w:space="0" w:color="auto"/>
                <w:left w:val="none" w:sz="0" w:space="0" w:color="auto"/>
                <w:bottom w:val="none" w:sz="0" w:space="0" w:color="auto"/>
                <w:right w:val="none" w:sz="0" w:space="0" w:color="auto"/>
              </w:divBdr>
            </w:div>
          </w:divsChild>
        </w:div>
        <w:div w:id="1302685887">
          <w:marLeft w:val="0"/>
          <w:marRight w:val="0"/>
          <w:marTop w:val="0"/>
          <w:marBottom w:val="0"/>
          <w:divBdr>
            <w:top w:val="none" w:sz="0" w:space="0" w:color="auto"/>
            <w:left w:val="none" w:sz="0" w:space="0" w:color="auto"/>
            <w:bottom w:val="none" w:sz="0" w:space="0" w:color="auto"/>
            <w:right w:val="none" w:sz="0" w:space="0" w:color="auto"/>
          </w:divBdr>
          <w:divsChild>
            <w:div w:id="1421222262">
              <w:marLeft w:val="0"/>
              <w:marRight w:val="0"/>
              <w:marTop w:val="0"/>
              <w:marBottom w:val="0"/>
              <w:divBdr>
                <w:top w:val="none" w:sz="0" w:space="0" w:color="auto"/>
                <w:left w:val="none" w:sz="0" w:space="0" w:color="auto"/>
                <w:bottom w:val="none" w:sz="0" w:space="0" w:color="auto"/>
                <w:right w:val="none" w:sz="0" w:space="0" w:color="auto"/>
              </w:divBdr>
            </w:div>
          </w:divsChild>
        </w:div>
        <w:div w:id="1371221798">
          <w:marLeft w:val="0"/>
          <w:marRight w:val="0"/>
          <w:marTop w:val="0"/>
          <w:marBottom w:val="0"/>
          <w:divBdr>
            <w:top w:val="none" w:sz="0" w:space="0" w:color="auto"/>
            <w:left w:val="none" w:sz="0" w:space="0" w:color="auto"/>
            <w:bottom w:val="none" w:sz="0" w:space="0" w:color="auto"/>
            <w:right w:val="none" w:sz="0" w:space="0" w:color="auto"/>
          </w:divBdr>
          <w:divsChild>
            <w:div w:id="359623052">
              <w:marLeft w:val="0"/>
              <w:marRight w:val="0"/>
              <w:marTop w:val="0"/>
              <w:marBottom w:val="0"/>
              <w:divBdr>
                <w:top w:val="none" w:sz="0" w:space="0" w:color="auto"/>
                <w:left w:val="none" w:sz="0" w:space="0" w:color="auto"/>
                <w:bottom w:val="none" w:sz="0" w:space="0" w:color="auto"/>
                <w:right w:val="none" w:sz="0" w:space="0" w:color="auto"/>
              </w:divBdr>
            </w:div>
          </w:divsChild>
        </w:div>
        <w:div w:id="1498231544">
          <w:marLeft w:val="0"/>
          <w:marRight w:val="0"/>
          <w:marTop w:val="0"/>
          <w:marBottom w:val="0"/>
          <w:divBdr>
            <w:top w:val="none" w:sz="0" w:space="0" w:color="auto"/>
            <w:left w:val="none" w:sz="0" w:space="0" w:color="auto"/>
            <w:bottom w:val="none" w:sz="0" w:space="0" w:color="auto"/>
            <w:right w:val="none" w:sz="0" w:space="0" w:color="auto"/>
          </w:divBdr>
          <w:divsChild>
            <w:div w:id="1354723211">
              <w:marLeft w:val="0"/>
              <w:marRight w:val="0"/>
              <w:marTop w:val="0"/>
              <w:marBottom w:val="0"/>
              <w:divBdr>
                <w:top w:val="none" w:sz="0" w:space="0" w:color="auto"/>
                <w:left w:val="none" w:sz="0" w:space="0" w:color="auto"/>
                <w:bottom w:val="none" w:sz="0" w:space="0" w:color="auto"/>
                <w:right w:val="none" w:sz="0" w:space="0" w:color="auto"/>
              </w:divBdr>
            </w:div>
          </w:divsChild>
        </w:div>
        <w:div w:id="742607929">
          <w:marLeft w:val="0"/>
          <w:marRight w:val="0"/>
          <w:marTop w:val="0"/>
          <w:marBottom w:val="0"/>
          <w:divBdr>
            <w:top w:val="none" w:sz="0" w:space="0" w:color="auto"/>
            <w:left w:val="none" w:sz="0" w:space="0" w:color="auto"/>
            <w:bottom w:val="none" w:sz="0" w:space="0" w:color="auto"/>
            <w:right w:val="none" w:sz="0" w:space="0" w:color="auto"/>
          </w:divBdr>
          <w:divsChild>
            <w:div w:id="2108185908">
              <w:marLeft w:val="0"/>
              <w:marRight w:val="0"/>
              <w:marTop w:val="0"/>
              <w:marBottom w:val="0"/>
              <w:divBdr>
                <w:top w:val="none" w:sz="0" w:space="0" w:color="auto"/>
                <w:left w:val="none" w:sz="0" w:space="0" w:color="auto"/>
                <w:bottom w:val="none" w:sz="0" w:space="0" w:color="auto"/>
                <w:right w:val="none" w:sz="0" w:space="0" w:color="auto"/>
              </w:divBdr>
            </w:div>
          </w:divsChild>
        </w:div>
        <w:div w:id="1541284575">
          <w:marLeft w:val="0"/>
          <w:marRight w:val="0"/>
          <w:marTop w:val="0"/>
          <w:marBottom w:val="0"/>
          <w:divBdr>
            <w:top w:val="none" w:sz="0" w:space="0" w:color="auto"/>
            <w:left w:val="none" w:sz="0" w:space="0" w:color="auto"/>
            <w:bottom w:val="none" w:sz="0" w:space="0" w:color="auto"/>
            <w:right w:val="none" w:sz="0" w:space="0" w:color="auto"/>
          </w:divBdr>
          <w:divsChild>
            <w:div w:id="922108895">
              <w:marLeft w:val="0"/>
              <w:marRight w:val="0"/>
              <w:marTop w:val="0"/>
              <w:marBottom w:val="0"/>
              <w:divBdr>
                <w:top w:val="none" w:sz="0" w:space="0" w:color="auto"/>
                <w:left w:val="none" w:sz="0" w:space="0" w:color="auto"/>
                <w:bottom w:val="none" w:sz="0" w:space="0" w:color="auto"/>
                <w:right w:val="none" w:sz="0" w:space="0" w:color="auto"/>
              </w:divBdr>
            </w:div>
          </w:divsChild>
        </w:div>
        <w:div w:id="2080399864">
          <w:marLeft w:val="0"/>
          <w:marRight w:val="0"/>
          <w:marTop w:val="0"/>
          <w:marBottom w:val="0"/>
          <w:divBdr>
            <w:top w:val="none" w:sz="0" w:space="0" w:color="auto"/>
            <w:left w:val="none" w:sz="0" w:space="0" w:color="auto"/>
            <w:bottom w:val="none" w:sz="0" w:space="0" w:color="auto"/>
            <w:right w:val="none" w:sz="0" w:space="0" w:color="auto"/>
          </w:divBdr>
          <w:divsChild>
            <w:div w:id="1560245900">
              <w:marLeft w:val="0"/>
              <w:marRight w:val="0"/>
              <w:marTop w:val="0"/>
              <w:marBottom w:val="0"/>
              <w:divBdr>
                <w:top w:val="none" w:sz="0" w:space="0" w:color="auto"/>
                <w:left w:val="none" w:sz="0" w:space="0" w:color="auto"/>
                <w:bottom w:val="none" w:sz="0" w:space="0" w:color="auto"/>
                <w:right w:val="none" w:sz="0" w:space="0" w:color="auto"/>
              </w:divBdr>
            </w:div>
          </w:divsChild>
        </w:div>
        <w:div w:id="14501909">
          <w:marLeft w:val="0"/>
          <w:marRight w:val="0"/>
          <w:marTop w:val="0"/>
          <w:marBottom w:val="0"/>
          <w:divBdr>
            <w:top w:val="none" w:sz="0" w:space="0" w:color="auto"/>
            <w:left w:val="none" w:sz="0" w:space="0" w:color="auto"/>
            <w:bottom w:val="none" w:sz="0" w:space="0" w:color="auto"/>
            <w:right w:val="none" w:sz="0" w:space="0" w:color="auto"/>
          </w:divBdr>
          <w:divsChild>
            <w:div w:id="310208452">
              <w:marLeft w:val="0"/>
              <w:marRight w:val="0"/>
              <w:marTop w:val="0"/>
              <w:marBottom w:val="0"/>
              <w:divBdr>
                <w:top w:val="none" w:sz="0" w:space="0" w:color="auto"/>
                <w:left w:val="none" w:sz="0" w:space="0" w:color="auto"/>
                <w:bottom w:val="none" w:sz="0" w:space="0" w:color="auto"/>
                <w:right w:val="none" w:sz="0" w:space="0" w:color="auto"/>
              </w:divBdr>
            </w:div>
          </w:divsChild>
        </w:div>
        <w:div w:id="1977102244">
          <w:marLeft w:val="0"/>
          <w:marRight w:val="0"/>
          <w:marTop w:val="0"/>
          <w:marBottom w:val="0"/>
          <w:divBdr>
            <w:top w:val="none" w:sz="0" w:space="0" w:color="auto"/>
            <w:left w:val="none" w:sz="0" w:space="0" w:color="auto"/>
            <w:bottom w:val="none" w:sz="0" w:space="0" w:color="auto"/>
            <w:right w:val="none" w:sz="0" w:space="0" w:color="auto"/>
          </w:divBdr>
          <w:divsChild>
            <w:div w:id="1990748240">
              <w:marLeft w:val="0"/>
              <w:marRight w:val="0"/>
              <w:marTop w:val="0"/>
              <w:marBottom w:val="0"/>
              <w:divBdr>
                <w:top w:val="none" w:sz="0" w:space="0" w:color="auto"/>
                <w:left w:val="none" w:sz="0" w:space="0" w:color="auto"/>
                <w:bottom w:val="none" w:sz="0" w:space="0" w:color="auto"/>
                <w:right w:val="none" w:sz="0" w:space="0" w:color="auto"/>
              </w:divBdr>
            </w:div>
          </w:divsChild>
        </w:div>
        <w:div w:id="869419111">
          <w:marLeft w:val="0"/>
          <w:marRight w:val="0"/>
          <w:marTop w:val="0"/>
          <w:marBottom w:val="0"/>
          <w:divBdr>
            <w:top w:val="none" w:sz="0" w:space="0" w:color="auto"/>
            <w:left w:val="none" w:sz="0" w:space="0" w:color="auto"/>
            <w:bottom w:val="none" w:sz="0" w:space="0" w:color="auto"/>
            <w:right w:val="none" w:sz="0" w:space="0" w:color="auto"/>
          </w:divBdr>
          <w:divsChild>
            <w:div w:id="1108083787">
              <w:marLeft w:val="0"/>
              <w:marRight w:val="0"/>
              <w:marTop w:val="0"/>
              <w:marBottom w:val="0"/>
              <w:divBdr>
                <w:top w:val="none" w:sz="0" w:space="0" w:color="auto"/>
                <w:left w:val="none" w:sz="0" w:space="0" w:color="auto"/>
                <w:bottom w:val="none" w:sz="0" w:space="0" w:color="auto"/>
                <w:right w:val="none" w:sz="0" w:space="0" w:color="auto"/>
              </w:divBdr>
            </w:div>
          </w:divsChild>
        </w:div>
        <w:div w:id="1674920026">
          <w:marLeft w:val="0"/>
          <w:marRight w:val="0"/>
          <w:marTop w:val="0"/>
          <w:marBottom w:val="0"/>
          <w:divBdr>
            <w:top w:val="none" w:sz="0" w:space="0" w:color="auto"/>
            <w:left w:val="none" w:sz="0" w:space="0" w:color="auto"/>
            <w:bottom w:val="none" w:sz="0" w:space="0" w:color="auto"/>
            <w:right w:val="none" w:sz="0" w:space="0" w:color="auto"/>
          </w:divBdr>
          <w:divsChild>
            <w:div w:id="1089354555">
              <w:marLeft w:val="0"/>
              <w:marRight w:val="0"/>
              <w:marTop w:val="0"/>
              <w:marBottom w:val="0"/>
              <w:divBdr>
                <w:top w:val="none" w:sz="0" w:space="0" w:color="auto"/>
                <w:left w:val="none" w:sz="0" w:space="0" w:color="auto"/>
                <w:bottom w:val="none" w:sz="0" w:space="0" w:color="auto"/>
                <w:right w:val="none" w:sz="0" w:space="0" w:color="auto"/>
              </w:divBdr>
            </w:div>
          </w:divsChild>
        </w:div>
        <w:div w:id="1516965616">
          <w:marLeft w:val="0"/>
          <w:marRight w:val="0"/>
          <w:marTop w:val="0"/>
          <w:marBottom w:val="0"/>
          <w:divBdr>
            <w:top w:val="none" w:sz="0" w:space="0" w:color="auto"/>
            <w:left w:val="none" w:sz="0" w:space="0" w:color="auto"/>
            <w:bottom w:val="none" w:sz="0" w:space="0" w:color="auto"/>
            <w:right w:val="none" w:sz="0" w:space="0" w:color="auto"/>
          </w:divBdr>
          <w:divsChild>
            <w:div w:id="116890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5202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6604898">
      <w:bodyDiv w:val="1"/>
      <w:marLeft w:val="0"/>
      <w:marRight w:val="0"/>
      <w:marTop w:val="0"/>
      <w:marBottom w:val="0"/>
      <w:divBdr>
        <w:top w:val="none" w:sz="0" w:space="0" w:color="auto"/>
        <w:left w:val="none" w:sz="0" w:space="0" w:color="auto"/>
        <w:bottom w:val="none" w:sz="0" w:space="0" w:color="auto"/>
        <w:right w:val="none" w:sz="0" w:space="0" w:color="auto"/>
      </w:divBdr>
      <w:divsChild>
        <w:div w:id="1276984485">
          <w:marLeft w:val="0"/>
          <w:marRight w:val="0"/>
          <w:marTop w:val="0"/>
          <w:marBottom w:val="0"/>
          <w:divBdr>
            <w:top w:val="none" w:sz="0" w:space="0" w:color="auto"/>
            <w:left w:val="none" w:sz="0" w:space="0" w:color="auto"/>
            <w:bottom w:val="none" w:sz="0" w:space="0" w:color="auto"/>
            <w:right w:val="none" w:sz="0" w:space="0" w:color="auto"/>
          </w:divBdr>
        </w:div>
        <w:div w:id="1669744984">
          <w:marLeft w:val="0"/>
          <w:marRight w:val="0"/>
          <w:marTop w:val="0"/>
          <w:marBottom w:val="0"/>
          <w:divBdr>
            <w:top w:val="none" w:sz="0" w:space="0" w:color="auto"/>
            <w:left w:val="none" w:sz="0" w:space="0" w:color="auto"/>
            <w:bottom w:val="none" w:sz="0" w:space="0" w:color="auto"/>
            <w:right w:val="none" w:sz="0" w:space="0" w:color="auto"/>
          </w:divBdr>
          <w:divsChild>
            <w:div w:id="472873718">
              <w:marLeft w:val="0"/>
              <w:marRight w:val="0"/>
              <w:marTop w:val="0"/>
              <w:marBottom w:val="0"/>
              <w:divBdr>
                <w:top w:val="none" w:sz="0" w:space="0" w:color="auto"/>
                <w:left w:val="none" w:sz="0" w:space="0" w:color="auto"/>
                <w:bottom w:val="none" w:sz="0" w:space="0" w:color="auto"/>
                <w:right w:val="none" w:sz="0" w:space="0" w:color="auto"/>
              </w:divBdr>
            </w:div>
            <w:div w:id="1470439358">
              <w:marLeft w:val="0"/>
              <w:marRight w:val="0"/>
              <w:marTop w:val="0"/>
              <w:marBottom w:val="0"/>
              <w:divBdr>
                <w:top w:val="none" w:sz="0" w:space="0" w:color="auto"/>
                <w:left w:val="none" w:sz="0" w:space="0" w:color="auto"/>
                <w:bottom w:val="none" w:sz="0" w:space="0" w:color="auto"/>
                <w:right w:val="none" w:sz="0" w:space="0" w:color="auto"/>
              </w:divBdr>
            </w:div>
            <w:div w:id="1450130141">
              <w:marLeft w:val="0"/>
              <w:marRight w:val="0"/>
              <w:marTop w:val="0"/>
              <w:marBottom w:val="0"/>
              <w:divBdr>
                <w:top w:val="none" w:sz="0" w:space="0" w:color="auto"/>
                <w:left w:val="none" w:sz="0" w:space="0" w:color="auto"/>
                <w:bottom w:val="none" w:sz="0" w:space="0" w:color="auto"/>
                <w:right w:val="none" w:sz="0" w:space="0" w:color="auto"/>
              </w:divBdr>
            </w:div>
            <w:div w:id="97217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704284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691298">
      <w:bodyDiv w:val="1"/>
      <w:marLeft w:val="0"/>
      <w:marRight w:val="0"/>
      <w:marTop w:val="0"/>
      <w:marBottom w:val="0"/>
      <w:divBdr>
        <w:top w:val="none" w:sz="0" w:space="0" w:color="auto"/>
        <w:left w:val="none" w:sz="0" w:space="0" w:color="auto"/>
        <w:bottom w:val="none" w:sz="0" w:space="0" w:color="auto"/>
        <w:right w:val="none" w:sz="0" w:space="0" w:color="auto"/>
      </w:divBdr>
      <w:divsChild>
        <w:div w:id="1463378804">
          <w:marLeft w:val="0"/>
          <w:marRight w:val="0"/>
          <w:marTop w:val="0"/>
          <w:marBottom w:val="0"/>
          <w:divBdr>
            <w:top w:val="none" w:sz="0" w:space="0" w:color="auto"/>
            <w:left w:val="none" w:sz="0" w:space="0" w:color="auto"/>
            <w:bottom w:val="none" w:sz="0" w:space="0" w:color="auto"/>
            <w:right w:val="none" w:sz="0" w:space="0" w:color="auto"/>
          </w:divBdr>
          <w:divsChild>
            <w:div w:id="1357997003">
              <w:marLeft w:val="0"/>
              <w:marRight w:val="0"/>
              <w:marTop w:val="0"/>
              <w:marBottom w:val="0"/>
              <w:divBdr>
                <w:top w:val="none" w:sz="0" w:space="0" w:color="auto"/>
                <w:left w:val="none" w:sz="0" w:space="0" w:color="auto"/>
                <w:bottom w:val="none" w:sz="0" w:space="0" w:color="auto"/>
                <w:right w:val="none" w:sz="0" w:space="0" w:color="auto"/>
              </w:divBdr>
            </w:div>
            <w:div w:id="453452413">
              <w:marLeft w:val="0"/>
              <w:marRight w:val="0"/>
              <w:marTop w:val="0"/>
              <w:marBottom w:val="0"/>
              <w:divBdr>
                <w:top w:val="none" w:sz="0" w:space="0" w:color="auto"/>
                <w:left w:val="none" w:sz="0" w:space="0" w:color="auto"/>
                <w:bottom w:val="none" w:sz="0" w:space="0" w:color="auto"/>
                <w:right w:val="none" w:sz="0" w:space="0" w:color="auto"/>
              </w:divBdr>
            </w:div>
            <w:div w:id="470707680">
              <w:marLeft w:val="0"/>
              <w:marRight w:val="0"/>
              <w:marTop w:val="0"/>
              <w:marBottom w:val="0"/>
              <w:divBdr>
                <w:top w:val="none" w:sz="0" w:space="0" w:color="auto"/>
                <w:left w:val="none" w:sz="0" w:space="0" w:color="auto"/>
                <w:bottom w:val="none" w:sz="0" w:space="0" w:color="auto"/>
                <w:right w:val="none" w:sz="0" w:space="0" w:color="auto"/>
              </w:divBdr>
            </w:div>
            <w:div w:id="1435901106">
              <w:marLeft w:val="0"/>
              <w:marRight w:val="0"/>
              <w:marTop w:val="0"/>
              <w:marBottom w:val="0"/>
              <w:divBdr>
                <w:top w:val="none" w:sz="0" w:space="0" w:color="auto"/>
                <w:left w:val="none" w:sz="0" w:space="0" w:color="auto"/>
                <w:bottom w:val="none" w:sz="0" w:space="0" w:color="auto"/>
                <w:right w:val="none" w:sz="0" w:space="0" w:color="auto"/>
              </w:divBdr>
            </w:div>
            <w:div w:id="1392076856">
              <w:marLeft w:val="0"/>
              <w:marRight w:val="0"/>
              <w:marTop w:val="0"/>
              <w:marBottom w:val="0"/>
              <w:divBdr>
                <w:top w:val="none" w:sz="0" w:space="0" w:color="auto"/>
                <w:left w:val="none" w:sz="0" w:space="0" w:color="auto"/>
                <w:bottom w:val="none" w:sz="0" w:space="0" w:color="auto"/>
                <w:right w:val="none" w:sz="0" w:space="0" w:color="auto"/>
              </w:divBdr>
            </w:div>
          </w:divsChild>
        </w:div>
        <w:div w:id="7100805">
          <w:marLeft w:val="0"/>
          <w:marRight w:val="0"/>
          <w:marTop w:val="0"/>
          <w:marBottom w:val="0"/>
          <w:divBdr>
            <w:top w:val="none" w:sz="0" w:space="0" w:color="auto"/>
            <w:left w:val="none" w:sz="0" w:space="0" w:color="auto"/>
            <w:bottom w:val="none" w:sz="0" w:space="0" w:color="auto"/>
            <w:right w:val="none" w:sz="0" w:space="0" w:color="auto"/>
          </w:divBdr>
        </w:div>
        <w:div w:id="1960336050">
          <w:marLeft w:val="0"/>
          <w:marRight w:val="0"/>
          <w:marTop w:val="0"/>
          <w:marBottom w:val="0"/>
          <w:divBdr>
            <w:top w:val="none" w:sz="0" w:space="0" w:color="auto"/>
            <w:left w:val="none" w:sz="0" w:space="0" w:color="auto"/>
            <w:bottom w:val="none" w:sz="0" w:space="0" w:color="auto"/>
            <w:right w:val="none" w:sz="0" w:space="0" w:color="auto"/>
          </w:divBdr>
        </w:div>
        <w:div w:id="2060131328">
          <w:marLeft w:val="0"/>
          <w:marRight w:val="0"/>
          <w:marTop w:val="0"/>
          <w:marBottom w:val="0"/>
          <w:divBdr>
            <w:top w:val="none" w:sz="0" w:space="0" w:color="auto"/>
            <w:left w:val="none" w:sz="0" w:space="0" w:color="auto"/>
            <w:bottom w:val="none" w:sz="0" w:space="0" w:color="auto"/>
            <w:right w:val="none" w:sz="0" w:space="0" w:color="auto"/>
          </w:divBdr>
        </w:div>
        <w:div w:id="1008368337">
          <w:marLeft w:val="0"/>
          <w:marRight w:val="0"/>
          <w:marTop w:val="0"/>
          <w:marBottom w:val="0"/>
          <w:divBdr>
            <w:top w:val="none" w:sz="0" w:space="0" w:color="auto"/>
            <w:left w:val="none" w:sz="0" w:space="0" w:color="auto"/>
            <w:bottom w:val="none" w:sz="0" w:space="0" w:color="auto"/>
            <w:right w:val="none" w:sz="0" w:space="0" w:color="auto"/>
          </w:divBdr>
        </w:div>
        <w:div w:id="1374236037">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489847">
      <w:bodyDiv w:val="1"/>
      <w:marLeft w:val="0"/>
      <w:marRight w:val="0"/>
      <w:marTop w:val="0"/>
      <w:marBottom w:val="0"/>
      <w:divBdr>
        <w:top w:val="none" w:sz="0" w:space="0" w:color="auto"/>
        <w:left w:val="none" w:sz="0" w:space="0" w:color="auto"/>
        <w:bottom w:val="none" w:sz="0" w:space="0" w:color="auto"/>
        <w:right w:val="none" w:sz="0" w:space="0" w:color="auto"/>
      </w:divBdr>
      <w:divsChild>
        <w:div w:id="1875845567">
          <w:marLeft w:val="0"/>
          <w:marRight w:val="0"/>
          <w:marTop w:val="0"/>
          <w:marBottom w:val="0"/>
          <w:divBdr>
            <w:top w:val="none" w:sz="0" w:space="0" w:color="auto"/>
            <w:left w:val="none" w:sz="0" w:space="0" w:color="auto"/>
            <w:bottom w:val="none" w:sz="0" w:space="0" w:color="auto"/>
            <w:right w:val="none" w:sz="0" w:space="0" w:color="auto"/>
          </w:divBdr>
          <w:divsChild>
            <w:div w:id="715156010">
              <w:marLeft w:val="0"/>
              <w:marRight w:val="0"/>
              <w:marTop w:val="0"/>
              <w:marBottom w:val="0"/>
              <w:divBdr>
                <w:top w:val="none" w:sz="0" w:space="0" w:color="auto"/>
                <w:left w:val="none" w:sz="0" w:space="0" w:color="auto"/>
                <w:bottom w:val="none" w:sz="0" w:space="0" w:color="auto"/>
                <w:right w:val="none" w:sz="0" w:space="0" w:color="auto"/>
              </w:divBdr>
            </w:div>
          </w:divsChild>
        </w:div>
        <w:div w:id="816531121">
          <w:marLeft w:val="0"/>
          <w:marRight w:val="0"/>
          <w:marTop w:val="0"/>
          <w:marBottom w:val="0"/>
          <w:divBdr>
            <w:top w:val="none" w:sz="0" w:space="0" w:color="auto"/>
            <w:left w:val="none" w:sz="0" w:space="0" w:color="auto"/>
            <w:bottom w:val="none" w:sz="0" w:space="0" w:color="auto"/>
            <w:right w:val="none" w:sz="0" w:space="0" w:color="auto"/>
          </w:divBdr>
          <w:divsChild>
            <w:div w:id="1081223048">
              <w:marLeft w:val="0"/>
              <w:marRight w:val="0"/>
              <w:marTop w:val="0"/>
              <w:marBottom w:val="0"/>
              <w:divBdr>
                <w:top w:val="none" w:sz="0" w:space="0" w:color="auto"/>
                <w:left w:val="none" w:sz="0" w:space="0" w:color="auto"/>
                <w:bottom w:val="none" w:sz="0" w:space="0" w:color="auto"/>
                <w:right w:val="none" w:sz="0" w:space="0" w:color="auto"/>
              </w:divBdr>
            </w:div>
          </w:divsChild>
        </w:div>
        <w:div w:id="382482539">
          <w:marLeft w:val="0"/>
          <w:marRight w:val="0"/>
          <w:marTop w:val="0"/>
          <w:marBottom w:val="0"/>
          <w:divBdr>
            <w:top w:val="none" w:sz="0" w:space="0" w:color="auto"/>
            <w:left w:val="none" w:sz="0" w:space="0" w:color="auto"/>
            <w:bottom w:val="none" w:sz="0" w:space="0" w:color="auto"/>
            <w:right w:val="none" w:sz="0" w:space="0" w:color="auto"/>
          </w:divBdr>
          <w:divsChild>
            <w:div w:id="564994735">
              <w:marLeft w:val="0"/>
              <w:marRight w:val="0"/>
              <w:marTop w:val="0"/>
              <w:marBottom w:val="0"/>
              <w:divBdr>
                <w:top w:val="none" w:sz="0" w:space="0" w:color="auto"/>
                <w:left w:val="none" w:sz="0" w:space="0" w:color="auto"/>
                <w:bottom w:val="none" w:sz="0" w:space="0" w:color="auto"/>
                <w:right w:val="none" w:sz="0" w:space="0" w:color="auto"/>
              </w:divBdr>
            </w:div>
          </w:divsChild>
        </w:div>
        <w:div w:id="1994601506">
          <w:marLeft w:val="0"/>
          <w:marRight w:val="0"/>
          <w:marTop w:val="0"/>
          <w:marBottom w:val="0"/>
          <w:divBdr>
            <w:top w:val="none" w:sz="0" w:space="0" w:color="auto"/>
            <w:left w:val="none" w:sz="0" w:space="0" w:color="auto"/>
            <w:bottom w:val="none" w:sz="0" w:space="0" w:color="auto"/>
            <w:right w:val="none" w:sz="0" w:space="0" w:color="auto"/>
          </w:divBdr>
          <w:divsChild>
            <w:div w:id="2135517785">
              <w:marLeft w:val="0"/>
              <w:marRight w:val="0"/>
              <w:marTop w:val="0"/>
              <w:marBottom w:val="0"/>
              <w:divBdr>
                <w:top w:val="none" w:sz="0" w:space="0" w:color="auto"/>
                <w:left w:val="none" w:sz="0" w:space="0" w:color="auto"/>
                <w:bottom w:val="none" w:sz="0" w:space="0" w:color="auto"/>
                <w:right w:val="none" w:sz="0" w:space="0" w:color="auto"/>
              </w:divBdr>
            </w:div>
          </w:divsChild>
        </w:div>
        <w:div w:id="735589259">
          <w:marLeft w:val="0"/>
          <w:marRight w:val="0"/>
          <w:marTop w:val="0"/>
          <w:marBottom w:val="0"/>
          <w:divBdr>
            <w:top w:val="none" w:sz="0" w:space="0" w:color="auto"/>
            <w:left w:val="none" w:sz="0" w:space="0" w:color="auto"/>
            <w:bottom w:val="none" w:sz="0" w:space="0" w:color="auto"/>
            <w:right w:val="none" w:sz="0" w:space="0" w:color="auto"/>
          </w:divBdr>
          <w:divsChild>
            <w:div w:id="352610276">
              <w:marLeft w:val="0"/>
              <w:marRight w:val="0"/>
              <w:marTop w:val="0"/>
              <w:marBottom w:val="0"/>
              <w:divBdr>
                <w:top w:val="none" w:sz="0" w:space="0" w:color="auto"/>
                <w:left w:val="none" w:sz="0" w:space="0" w:color="auto"/>
                <w:bottom w:val="none" w:sz="0" w:space="0" w:color="auto"/>
                <w:right w:val="none" w:sz="0" w:space="0" w:color="auto"/>
              </w:divBdr>
            </w:div>
          </w:divsChild>
        </w:div>
        <w:div w:id="512111464">
          <w:marLeft w:val="0"/>
          <w:marRight w:val="0"/>
          <w:marTop w:val="0"/>
          <w:marBottom w:val="0"/>
          <w:divBdr>
            <w:top w:val="none" w:sz="0" w:space="0" w:color="auto"/>
            <w:left w:val="none" w:sz="0" w:space="0" w:color="auto"/>
            <w:bottom w:val="none" w:sz="0" w:space="0" w:color="auto"/>
            <w:right w:val="none" w:sz="0" w:space="0" w:color="auto"/>
          </w:divBdr>
          <w:divsChild>
            <w:div w:id="1638142391">
              <w:marLeft w:val="0"/>
              <w:marRight w:val="0"/>
              <w:marTop w:val="0"/>
              <w:marBottom w:val="0"/>
              <w:divBdr>
                <w:top w:val="none" w:sz="0" w:space="0" w:color="auto"/>
                <w:left w:val="none" w:sz="0" w:space="0" w:color="auto"/>
                <w:bottom w:val="none" w:sz="0" w:space="0" w:color="auto"/>
                <w:right w:val="none" w:sz="0" w:space="0" w:color="auto"/>
              </w:divBdr>
            </w:div>
          </w:divsChild>
        </w:div>
        <w:div w:id="688528394">
          <w:marLeft w:val="0"/>
          <w:marRight w:val="0"/>
          <w:marTop w:val="0"/>
          <w:marBottom w:val="0"/>
          <w:divBdr>
            <w:top w:val="none" w:sz="0" w:space="0" w:color="auto"/>
            <w:left w:val="none" w:sz="0" w:space="0" w:color="auto"/>
            <w:bottom w:val="none" w:sz="0" w:space="0" w:color="auto"/>
            <w:right w:val="none" w:sz="0" w:space="0" w:color="auto"/>
          </w:divBdr>
          <w:divsChild>
            <w:div w:id="1120299910">
              <w:marLeft w:val="0"/>
              <w:marRight w:val="0"/>
              <w:marTop w:val="0"/>
              <w:marBottom w:val="0"/>
              <w:divBdr>
                <w:top w:val="none" w:sz="0" w:space="0" w:color="auto"/>
                <w:left w:val="none" w:sz="0" w:space="0" w:color="auto"/>
                <w:bottom w:val="none" w:sz="0" w:space="0" w:color="auto"/>
                <w:right w:val="none" w:sz="0" w:space="0" w:color="auto"/>
              </w:divBdr>
            </w:div>
          </w:divsChild>
        </w:div>
        <w:div w:id="144786750">
          <w:marLeft w:val="0"/>
          <w:marRight w:val="0"/>
          <w:marTop w:val="0"/>
          <w:marBottom w:val="0"/>
          <w:divBdr>
            <w:top w:val="none" w:sz="0" w:space="0" w:color="auto"/>
            <w:left w:val="none" w:sz="0" w:space="0" w:color="auto"/>
            <w:bottom w:val="none" w:sz="0" w:space="0" w:color="auto"/>
            <w:right w:val="none" w:sz="0" w:space="0" w:color="auto"/>
          </w:divBdr>
          <w:divsChild>
            <w:div w:id="1191608299">
              <w:marLeft w:val="0"/>
              <w:marRight w:val="0"/>
              <w:marTop w:val="0"/>
              <w:marBottom w:val="0"/>
              <w:divBdr>
                <w:top w:val="none" w:sz="0" w:space="0" w:color="auto"/>
                <w:left w:val="none" w:sz="0" w:space="0" w:color="auto"/>
                <w:bottom w:val="none" w:sz="0" w:space="0" w:color="auto"/>
                <w:right w:val="none" w:sz="0" w:space="0" w:color="auto"/>
              </w:divBdr>
            </w:div>
          </w:divsChild>
        </w:div>
        <w:div w:id="2119793738">
          <w:marLeft w:val="0"/>
          <w:marRight w:val="0"/>
          <w:marTop w:val="0"/>
          <w:marBottom w:val="0"/>
          <w:divBdr>
            <w:top w:val="none" w:sz="0" w:space="0" w:color="auto"/>
            <w:left w:val="none" w:sz="0" w:space="0" w:color="auto"/>
            <w:bottom w:val="none" w:sz="0" w:space="0" w:color="auto"/>
            <w:right w:val="none" w:sz="0" w:space="0" w:color="auto"/>
          </w:divBdr>
          <w:divsChild>
            <w:div w:id="165637104">
              <w:marLeft w:val="0"/>
              <w:marRight w:val="0"/>
              <w:marTop w:val="0"/>
              <w:marBottom w:val="0"/>
              <w:divBdr>
                <w:top w:val="none" w:sz="0" w:space="0" w:color="auto"/>
                <w:left w:val="none" w:sz="0" w:space="0" w:color="auto"/>
                <w:bottom w:val="none" w:sz="0" w:space="0" w:color="auto"/>
                <w:right w:val="none" w:sz="0" w:space="0" w:color="auto"/>
              </w:divBdr>
            </w:div>
          </w:divsChild>
        </w:div>
        <w:div w:id="2030259369">
          <w:marLeft w:val="0"/>
          <w:marRight w:val="0"/>
          <w:marTop w:val="0"/>
          <w:marBottom w:val="0"/>
          <w:divBdr>
            <w:top w:val="none" w:sz="0" w:space="0" w:color="auto"/>
            <w:left w:val="none" w:sz="0" w:space="0" w:color="auto"/>
            <w:bottom w:val="none" w:sz="0" w:space="0" w:color="auto"/>
            <w:right w:val="none" w:sz="0" w:space="0" w:color="auto"/>
          </w:divBdr>
          <w:divsChild>
            <w:div w:id="1326974165">
              <w:marLeft w:val="0"/>
              <w:marRight w:val="0"/>
              <w:marTop w:val="0"/>
              <w:marBottom w:val="0"/>
              <w:divBdr>
                <w:top w:val="none" w:sz="0" w:space="0" w:color="auto"/>
                <w:left w:val="none" w:sz="0" w:space="0" w:color="auto"/>
                <w:bottom w:val="none" w:sz="0" w:space="0" w:color="auto"/>
                <w:right w:val="none" w:sz="0" w:space="0" w:color="auto"/>
              </w:divBdr>
            </w:div>
          </w:divsChild>
        </w:div>
        <w:div w:id="505940924">
          <w:marLeft w:val="0"/>
          <w:marRight w:val="0"/>
          <w:marTop w:val="0"/>
          <w:marBottom w:val="0"/>
          <w:divBdr>
            <w:top w:val="none" w:sz="0" w:space="0" w:color="auto"/>
            <w:left w:val="none" w:sz="0" w:space="0" w:color="auto"/>
            <w:bottom w:val="none" w:sz="0" w:space="0" w:color="auto"/>
            <w:right w:val="none" w:sz="0" w:space="0" w:color="auto"/>
          </w:divBdr>
          <w:divsChild>
            <w:div w:id="153617289">
              <w:marLeft w:val="0"/>
              <w:marRight w:val="0"/>
              <w:marTop w:val="0"/>
              <w:marBottom w:val="0"/>
              <w:divBdr>
                <w:top w:val="none" w:sz="0" w:space="0" w:color="auto"/>
                <w:left w:val="none" w:sz="0" w:space="0" w:color="auto"/>
                <w:bottom w:val="none" w:sz="0" w:space="0" w:color="auto"/>
                <w:right w:val="none" w:sz="0" w:space="0" w:color="auto"/>
              </w:divBdr>
            </w:div>
          </w:divsChild>
        </w:div>
        <w:div w:id="1050567311">
          <w:marLeft w:val="0"/>
          <w:marRight w:val="0"/>
          <w:marTop w:val="0"/>
          <w:marBottom w:val="0"/>
          <w:divBdr>
            <w:top w:val="none" w:sz="0" w:space="0" w:color="auto"/>
            <w:left w:val="none" w:sz="0" w:space="0" w:color="auto"/>
            <w:bottom w:val="none" w:sz="0" w:space="0" w:color="auto"/>
            <w:right w:val="none" w:sz="0" w:space="0" w:color="auto"/>
          </w:divBdr>
          <w:divsChild>
            <w:div w:id="1222016317">
              <w:marLeft w:val="0"/>
              <w:marRight w:val="0"/>
              <w:marTop w:val="0"/>
              <w:marBottom w:val="0"/>
              <w:divBdr>
                <w:top w:val="none" w:sz="0" w:space="0" w:color="auto"/>
                <w:left w:val="none" w:sz="0" w:space="0" w:color="auto"/>
                <w:bottom w:val="none" w:sz="0" w:space="0" w:color="auto"/>
                <w:right w:val="none" w:sz="0" w:space="0" w:color="auto"/>
              </w:divBdr>
            </w:div>
          </w:divsChild>
        </w:div>
        <w:div w:id="155072987">
          <w:marLeft w:val="0"/>
          <w:marRight w:val="0"/>
          <w:marTop w:val="0"/>
          <w:marBottom w:val="0"/>
          <w:divBdr>
            <w:top w:val="none" w:sz="0" w:space="0" w:color="auto"/>
            <w:left w:val="none" w:sz="0" w:space="0" w:color="auto"/>
            <w:bottom w:val="none" w:sz="0" w:space="0" w:color="auto"/>
            <w:right w:val="none" w:sz="0" w:space="0" w:color="auto"/>
          </w:divBdr>
          <w:divsChild>
            <w:div w:id="844130425">
              <w:marLeft w:val="0"/>
              <w:marRight w:val="0"/>
              <w:marTop w:val="0"/>
              <w:marBottom w:val="0"/>
              <w:divBdr>
                <w:top w:val="none" w:sz="0" w:space="0" w:color="auto"/>
                <w:left w:val="none" w:sz="0" w:space="0" w:color="auto"/>
                <w:bottom w:val="none" w:sz="0" w:space="0" w:color="auto"/>
                <w:right w:val="none" w:sz="0" w:space="0" w:color="auto"/>
              </w:divBdr>
            </w:div>
          </w:divsChild>
        </w:div>
        <w:div w:id="916749911">
          <w:marLeft w:val="0"/>
          <w:marRight w:val="0"/>
          <w:marTop w:val="0"/>
          <w:marBottom w:val="0"/>
          <w:divBdr>
            <w:top w:val="none" w:sz="0" w:space="0" w:color="auto"/>
            <w:left w:val="none" w:sz="0" w:space="0" w:color="auto"/>
            <w:bottom w:val="none" w:sz="0" w:space="0" w:color="auto"/>
            <w:right w:val="none" w:sz="0" w:space="0" w:color="auto"/>
          </w:divBdr>
          <w:divsChild>
            <w:div w:id="448937796">
              <w:marLeft w:val="0"/>
              <w:marRight w:val="0"/>
              <w:marTop w:val="0"/>
              <w:marBottom w:val="0"/>
              <w:divBdr>
                <w:top w:val="none" w:sz="0" w:space="0" w:color="auto"/>
                <w:left w:val="none" w:sz="0" w:space="0" w:color="auto"/>
                <w:bottom w:val="none" w:sz="0" w:space="0" w:color="auto"/>
                <w:right w:val="none" w:sz="0" w:space="0" w:color="auto"/>
              </w:divBdr>
            </w:div>
          </w:divsChild>
        </w:div>
        <w:div w:id="1161583652">
          <w:marLeft w:val="0"/>
          <w:marRight w:val="0"/>
          <w:marTop w:val="0"/>
          <w:marBottom w:val="0"/>
          <w:divBdr>
            <w:top w:val="none" w:sz="0" w:space="0" w:color="auto"/>
            <w:left w:val="none" w:sz="0" w:space="0" w:color="auto"/>
            <w:bottom w:val="none" w:sz="0" w:space="0" w:color="auto"/>
            <w:right w:val="none" w:sz="0" w:space="0" w:color="auto"/>
          </w:divBdr>
          <w:divsChild>
            <w:div w:id="264073506">
              <w:marLeft w:val="0"/>
              <w:marRight w:val="0"/>
              <w:marTop w:val="0"/>
              <w:marBottom w:val="0"/>
              <w:divBdr>
                <w:top w:val="none" w:sz="0" w:space="0" w:color="auto"/>
                <w:left w:val="none" w:sz="0" w:space="0" w:color="auto"/>
                <w:bottom w:val="none" w:sz="0" w:space="0" w:color="auto"/>
                <w:right w:val="none" w:sz="0" w:space="0" w:color="auto"/>
              </w:divBdr>
            </w:div>
          </w:divsChild>
        </w:div>
        <w:div w:id="1057902209">
          <w:marLeft w:val="0"/>
          <w:marRight w:val="0"/>
          <w:marTop w:val="0"/>
          <w:marBottom w:val="0"/>
          <w:divBdr>
            <w:top w:val="none" w:sz="0" w:space="0" w:color="auto"/>
            <w:left w:val="none" w:sz="0" w:space="0" w:color="auto"/>
            <w:bottom w:val="none" w:sz="0" w:space="0" w:color="auto"/>
            <w:right w:val="none" w:sz="0" w:space="0" w:color="auto"/>
          </w:divBdr>
          <w:divsChild>
            <w:div w:id="1762289773">
              <w:marLeft w:val="0"/>
              <w:marRight w:val="0"/>
              <w:marTop w:val="0"/>
              <w:marBottom w:val="0"/>
              <w:divBdr>
                <w:top w:val="none" w:sz="0" w:space="0" w:color="auto"/>
                <w:left w:val="none" w:sz="0" w:space="0" w:color="auto"/>
                <w:bottom w:val="none" w:sz="0" w:space="0" w:color="auto"/>
                <w:right w:val="none" w:sz="0" w:space="0" w:color="auto"/>
              </w:divBdr>
            </w:div>
          </w:divsChild>
        </w:div>
        <w:div w:id="100103787">
          <w:marLeft w:val="0"/>
          <w:marRight w:val="0"/>
          <w:marTop w:val="0"/>
          <w:marBottom w:val="0"/>
          <w:divBdr>
            <w:top w:val="none" w:sz="0" w:space="0" w:color="auto"/>
            <w:left w:val="none" w:sz="0" w:space="0" w:color="auto"/>
            <w:bottom w:val="none" w:sz="0" w:space="0" w:color="auto"/>
            <w:right w:val="none" w:sz="0" w:space="0" w:color="auto"/>
          </w:divBdr>
          <w:divsChild>
            <w:div w:id="1407528730">
              <w:marLeft w:val="0"/>
              <w:marRight w:val="0"/>
              <w:marTop w:val="0"/>
              <w:marBottom w:val="0"/>
              <w:divBdr>
                <w:top w:val="none" w:sz="0" w:space="0" w:color="auto"/>
                <w:left w:val="none" w:sz="0" w:space="0" w:color="auto"/>
                <w:bottom w:val="none" w:sz="0" w:space="0" w:color="auto"/>
                <w:right w:val="none" w:sz="0" w:space="0" w:color="auto"/>
              </w:divBdr>
            </w:div>
          </w:divsChild>
        </w:div>
        <w:div w:id="1800611179">
          <w:marLeft w:val="0"/>
          <w:marRight w:val="0"/>
          <w:marTop w:val="0"/>
          <w:marBottom w:val="0"/>
          <w:divBdr>
            <w:top w:val="none" w:sz="0" w:space="0" w:color="auto"/>
            <w:left w:val="none" w:sz="0" w:space="0" w:color="auto"/>
            <w:bottom w:val="none" w:sz="0" w:space="0" w:color="auto"/>
            <w:right w:val="none" w:sz="0" w:space="0" w:color="auto"/>
          </w:divBdr>
          <w:divsChild>
            <w:div w:id="377823998">
              <w:marLeft w:val="0"/>
              <w:marRight w:val="0"/>
              <w:marTop w:val="0"/>
              <w:marBottom w:val="0"/>
              <w:divBdr>
                <w:top w:val="none" w:sz="0" w:space="0" w:color="auto"/>
                <w:left w:val="none" w:sz="0" w:space="0" w:color="auto"/>
                <w:bottom w:val="none" w:sz="0" w:space="0" w:color="auto"/>
                <w:right w:val="none" w:sz="0" w:space="0" w:color="auto"/>
              </w:divBdr>
            </w:div>
          </w:divsChild>
        </w:div>
        <w:div w:id="1886216946">
          <w:marLeft w:val="0"/>
          <w:marRight w:val="0"/>
          <w:marTop w:val="0"/>
          <w:marBottom w:val="0"/>
          <w:divBdr>
            <w:top w:val="none" w:sz="0" w:space="0" w:color="auto"/>
            <w:left w:val="none" w:sz="0" w:space="0" w:color="auto"/>
            <w:bottom w:val="none" w:sz="0" w:space="0" w:color="auto"/>
            <w:right w:val="none" w:sz="0" w:space="0" w:color="auto"/>
          </w:divBdr>
          <w:divsChild>
            <w:div w:id="221405070">
              <w:marLeft w:val="0"/>
              <w:marRight w:val="0"/>
              <w:marTop w:val="0"/>
              <w:marBottom w:val="0"/>
              <w:divBdr>
                <w:top w:val="none" w:sz="0" w:space="0" w:color="auto"/>
                <w:left w:val="none" w:sz="0" w:space="0" w:color="auto"/>
                <w:bottom w:val="none" w:sz="0" w:space="0" w:color="auto"/>
                <w:right w:val="none" w:sz="0" w:space="0" w:color="auto"/>
              </w:divBdr>
            </w:div>
          </w:divsChild>
        </w:div>
        <w:div w:id="776948268">
          <w:marLeft w:val="0"/>
          <w:marRight w:val="0"/>
          <w:marTop w:val="0"/>
          <w:marBottom w:val="0"/>
          <w:divBdr>
            <w:top w:val="none" w:sz="0" w:space="0" w:color="auto"/>
            <w:left w:val="none" w:sz="0" w:space="0" w:color="auto"/>
            <w:bottom w:val="none" w:sz="0" w:space="0" w:color="auto"/>
            <w:right w:val="none" w:sz="0" w:space="0" w:color="auto"/>
          </w:divBdr>
          <w:divsChild>
            <w:div w:id="159320780">
              <w:marLeft w:val="0"/>
              <w:marRight w:val="0"/>
              <w:marTop w:val="0"/>
              <w:marBottom w:val="0"/>
              <w:divBdr>
                <w:top w:val="none" w:sz="0" w:space="0" w:color="auto"/>
                <w:left w:val="none" w:sz="0" w:space="0" w:color="auto"/>
                <w:bottom w:val="none" w:sz="0" w:space="0" w:color="auto"/>
                <w:right w:val="none" w:sz="0" w:space="0" w:color="auto"/>
              </w:divBdr>
            </w:div>
          </w:divsChild>
        </w:div>
        <w:div w:id="1422677901">
          <w:marLeft w:val="0"/>
          <w:marRight w:val="0"/>
          <w:marTop w:val="0"/>
          <w:marBottom w:val="0"/>
          <w:divBdr>
            <w:top w:val="none" w:sz="0" w:space="0" w:color="auto"/>
            <w:left w:val="none" w:sz="0" w:space="0" w:color="auto"/>
            <w:bottom w:val="none" w:sz="0" w:space="0" w:color="auto"/>
            <w:right w:val="none" w:sz="0" w:space="0" w:color="auto"/>
          </w:divBdr>
          <w:divsChild>
            <w:div w:id="310915531">
              <w:marLeft w:val="0"/>
              <w:marRight w:val="0"/>
              <w:marTop w:val="0"/>
              <w:marBottom w:val="0"/>
              <w:divBdr>
                <w:top w:val="none" w:sz="0" w:space="0" w:color="auto"/>
                <w:left w:val="none" w:sz="0" w:space="0" w:color="auto"/>
                <w:bottom w:val="none" w:sz="0" w:space="0" w:color="auto"/>
                <w:right w:val="none" w:sz="0" w:space="0" w:color="auto"/>
              </w:divBdr>
            </w:div>
          </w:divsChild>
        </w:div>
        <w:div w:id="1195657104">
          <w:marLeft w:val="0"/>
          <w:marRight w:val="0"/>
          <w:marTop w:val="0"/>
          <w:marBottom w:val="0"/>
          <w:divBdr>
            <w:top w:val="none" w:sz="0" w:space="0" w:color="auto"/>
            <w:left w:val="none" w:sz="0" w:space="0" w:color="auto"/>
            <w:bottom w:val="none" w:sz="0" w:space="0" w:color="auto"/>
            <w:right w:val="none" w:sz="0" w:space="0" w:color="auto"/>
          </w:divBdr>
          <w:divsChild>
            <w:div w:id="1323122841">
              <w:marLeft w:val="0"/>
              <w:marRight w:val="0"/>
              <w:marTop w:val="0"/>
              <w:marBottom w:val="0"/>
              <w:divBdr>
                <w:top w:val="none" w:sz="0" w:space="0" w:color="auto"/>
                <w:left w:val="none" w:sz="0" w:space="0" w:color="auto"/>
                <w:bottom w:val="none" w:sz="0" w:space="0" w:color="auto"/>
                <w:right w:val="none" w:sz="0" w:space="0" w:color="auto"/>
              </w:divBdr>
            </w:div>
          </w:divsChild>
        </w:div>
        <w:div w:id="2037347772">
          <w:marLeft w:val="0"/>
          <w:marRight w:val="0"/>
          <w:marTop w:val="0"/>
          <w:marBottom w:val="0"/>
          <w:divBdr>
            <w:top w:val="none" w:sz="0" w:space="0" w:color="auto"/>
            <w:left w:val="none" w:sz="0" w:space="0" w:color="auto"/>
            <w:bottom w:val="none" w:sz="0" w:space="0" w:color="auto"/>
            <w:right w:val="none" w:sz="0" w:space="0" w:color="auto"/>
          </w:divBdr>
          <w:divsChild>
            <w:div w:id="1901791175">
              <w:marLeft w:val="0"/>
              <w:marRight w:val="0"/>
              <w:marTop w:val="0"/>
              <w:marBottom w:val="0"/>
              <w:divBdr>
                <w:top w:val="none" w:sz="0" w:space="0" w:color="auto"/>
                <w:left w:val="none" w:sz="0" w:space="0" w:color="auto"/>
                <w:bottom w:val="none" w:sz="0" w:space="0" w:color="auto"/>
                <w:right w:val="none" w:sz="0" w:space="0" w:color="auto"/>
              </w:divBdr>
            </w:div>
          </w:divsChild>
        </w:div>
        <w:div w:id="991450851">
          <w:marLeft w:val="0"/>
          <w:marRight w:val="0"/>
          <w:marTop w:val="0"/>
          <w:marBottom w:val="0"/>
          <w:divBdr>
            <w:top w:val="none" w:sz="0" w:space="0" w:color="auto"/>
            <w:left w:val="none" w:sz="0" w:space="0" w:color="auto"/>
            <w:bottom w:val="none" w:sz="0" w:space="0" w:color="auto"/>
            <w:right w:val="none" w:sz="0" w:space="0" w:color="auto"/>
          </w:divBdr>
          <w:divsChild>
            <w:div w:id="1554610086">
              <w:marLeft w:val="0"/>
              <w:marRight w:val="0"/>
              <w:marTop w:val="0"/>
              <w:marBottom w:val="0"/>
              <w:divBdr>
                <w:top w:val="none" w:sz="0" w:space="0" w:color="auto"/>
                <w:left w:val="none" w:sz="0" w:space="0" w:color="auto"/>
                <w:bottom w:val="none" w:sz="0" w:space="0" w:color="auto"/>
                <w:right w:val="none" w:sz="0" w:space="0" w:color="auto"/>
              </w:divBdr>
            </w:div>
          </w:divsChild>
        </w:div>
        <w:div w:id="1456676690">
          <w:marLeft w:val="0"/>
          <w:marRight w:val="0"/>
          <w:marTop w:val="0"/>
          <w:marBottom w:val="0"/>
          <w:divBdr>
            <w:top w:val="none" w:sz="0" w:space="0" w:color="auto"/>
            <w:left w:val="none" w:sz="0" w:space="0" w:color="auto"/>
            <w:bottom w:val="none" w:sz="0" w:space="0" w:color="auto"/>
            <w:right w:val="none" w:sz="0" w:space="0" w:color="auto"/>
          </w:divBdr>
          <w:divsChild>
            <w:div w:id="1415317243">
              <w:marLeft w:val="0"/>
              <w:marRight w:val="0"/>
              <w:marTop w:val="0"/>
              <w:marBottom w:val="0"/>
              <w:divBdr>
                <w:top w:val="none" w:sz="0" w:space="0" w:color="auto"/>
                <w:left w:val="none" w:sz="0" w:space="0" w:color="auto"/>
                <w:bottom w:val="none" w:sz="0" w:space="0" w:color="auto"/>
                <w:right w:val="none" w:sz="0" w:space="0" w:color="auto"/>
              </w:divBdr>
            </w:div>
          </w:divsChild>
        </w:div>
        <w:div w:id="1940288278">
          <w:marLeft w:val="0"/>
          <w:marRight w:val="0"/>
          <w:marTop w:val="0"/>
          <w:marBottom w:val="0"/>
          <w:divBdr>
            <w:top w:val="none" w:sz="0" w:space="0" w:color="auto"/>
            <w:left w:val="none" w:sz="0" w:space="0" w:color="auto"/>
            <w:bottom w:val="none" w:sz="0" w:space="0" w:color="auto"/>
            <w:right w:val="none" w:sz="0" w:space="0" w:color="auto"/>
          </w:divBdr>
          <w:divsChild>
            <w:div w:id="190263579">
              <w:marLeft w:val="0"/>
              <w:marRight w:val="0"/>
              <w:marTop w:val="0"/>
              <w:marBottom w:val="0"/>
              <w:divBdr>
                <w:top w:val="none" w:sz="0" w:space="0" w:color="auto"/>
                <w:left w:val="none" w:sz="0" w:space="0" w:color="auto"/>
                <w:bottom w:val="none" w:sz="0" w:space="0" w:color="auto"/>
                <w:right w:val="none" w:sz="0" w:space="0" w:color="auto"/>
              </w:divBdr>
            </w:div>
          </w:divsChild>
        </w:div>
        <w:div w:id="140583698">
          <w:marLeft w:val="0"/>
          <w:marRight w:val="0"/>
          <w:marTop w:val="0"/>
          <w:marBottom w:val="0"/>
          <w:divBdr>
            <w:top w:val="none" w:sz="0" w:space="0" w:color="auto"/>
            <w:left w:val="none" w:sz="0" w:space="0" w:color="auto"/>
            <w:bottom w:val="none" w:sz="0" w:space="0" w:color="auto"/>
            <w:right w:val="none" w:sz="0" w:space="0" w:color="auto"/>
          </w:divBdr>
          <w:divsChild>
            <w:div w:id="1093668435">
              <w:marLeft w:val="0"/>
              <w:marRight w:val="0"/>
              <w:marTop w:val="0"/>
              <w:marBottom w:val="0"/>
              <w:divBdr>
                <w:top w:val="none" w:sz="0" w:space="0" w:color="auto"/>
                <w:left w:val="none" w:sz="0" w:space="0" w:color="auto"/>
                <w:bottom w:val="none" w:sz="0" w:space="0" w:color="auto"/>
                <w:right w:val="none" w:sz="0" w:space="0" w:color="auto"/>
              </w:divBdr>
            </w:div>
          </w:divsChild>
        </w:div>
        <w:div w:id="1153764490">
          <w:marLeft w:val="0"/>
          <w:marRight w:val="0"/>
          <w:marTop w:val="0"/>
          <w:marBottom w:val="0"/>
          <w:divBdr>
            <w:top w:val="none" w:sz="0" w:space="0" w:color="auto"/>
            <w:left w:val="none" w:sz="0" w:space="0" w:color="auto"/>
            <w:bottom w:val="none" w:sz="0" w:space="0" w:color="auto"/>
            <w:right w:val="none" w:sz="0" w:space="0" w:color="auto"/>
          </w:divBdr>
          <w:divsChild>
            <w:div w:id="21131140">
              <w:marLeft w:val="0"/>
              <w:marRight w:val="0"/>
              <w:marTop w:val="0"/>
              <w:marBottom w:val="0"/>
              <w:divBdr>
                <w:top w:val="none" w:sz="0" w:space="0" w:color="auto"/>
                <w:left w:val="none" w:sz="0" w:space="0" w:color="auto"/>
                <w:bottom w:val="none" w:sz="0" w:space="0" w:color="auto"/>
                <w:right w:val="none" w:sz="0" w:space="0" w:color="auto"/>
              </w:divBdr>
            </w:div>
          </w:divsChild>
        </w:div>
        <w:div w:id="1538810408">
          <w:marLeft w:val="0"/>
          <w:marRight w:val="0"/>
          <w:marTop w:val="0"/>
          <w:marBottom w:val="0"/>
          <w:divBdr>
            <w:top w:val="none" w:sz="0" w:space="0" w:color="auto"/>
            <w:left w:val="none" w:sz="0" w:space="0" w:color="auto"/>
            <w:bottom w:val="none" w:sz="0" w:space="0" w:color="auto"/>
            <w:right w:val="none" w:sz="0" w:space="0" w:color="auto"/>
          </w:divBdr>
          <w:divsChild>
            <w:div w:id="626787751">
              <w:marLeft w:val="0"/>
              <w:marRight w:val="0"/>
              <w:marTop w:val="0"/>
              <w:marBottom w:val="0"/>
              <w:divBdr>
                <w:top w:val="none" w:sz="0" w:space="0" w:color="auto"/>
                <w:left w:val="none" w:sz="0" w:space="0" w:color="auto"/>
                <w:bottom w:val="none" w:sz="0" w:space="0" w:color="auto"/>
                <w:right w:val="none" w:sz="0" w:space="0" w:color="auto"/>
              </w:divBdr>
            </w:div>
          </w:divsChild>
        </w:div>
        <w:div w:id="1936815029">
          <w:marLeft w:val="0"/>
          <w:marRight w:val="0"/>
          <w:marTop w:val="0"/>
          <w:marBottom w:val="0"/>
          <w:divBdr>
            <w:top w:val="none" w:sz="0" w:space="0" w:color="auto"/>
            <w:left w:val="none" w:sz="0" w:space="0" w:color="auto"/>
            <w:bottom w:val="none" w:sz="0" w:space="0" w:color="auto"/>
            <w:right w:val="none" w:sz="0" w:space="0" w:color="auto"/>
          </w:divBdr>
          <w:divsChild>
            <w:div w:id="847254983">
              <w:marLeft w:val="0"/>
              <w:marRight w:val="0"/>
              <w:marTop w:val="0"/>
              <w:marBottom w:val="0"/>
              <w:divBdr>
                <w:top w:val="none" w:sz="0" w:space="0" w:color="auto"/>
                <w:left w:val="none" w:sz="0" w:space="0" w:color="auto"/>
                <w:bottom w:val="none" w:sz="0" w:space="0" w:color="auto"/>
                <w:right w:val="none" w:sz="0" w:space="0" w:color="auto"/>
              </w:divBdr>
            </w:div>
          </w:divsChild>
        </w:div>
        <w:div w:id="1785616660">
          <w:marLeft w:val="0"/>
          <w:marRight w:val="0"/>
          <w:marTop w:val="0"/>
          <w:marBottom w:val="0"/>
          <w:divBdr>
            <w:top w:val="none" w:sz="0" w:space="0" w:color="auto"/>
            <w:left w:val="none" w:sz="0" w:space="0" w:color="auto"/>
            <w:bottom w:val="none" w:sz="0" w:space="0" w:color="auto"/>
            <w:right w:val="none" w:sz="0" w:space="0" w:color="auto"/>
          </w:divBdr>
          <w:divsChild>
            <w:div w:id="584145796">
              <w:marLeft w:val="0"/>
              <w:marRight w:val="0"/>
              <w:marTop w:val="0"/>
              <w:marBottom w:val="0"/>
              <w:divBdr>
                <w:top w:val="none" w:sz="0" w:space="0" w:color="auto"/>
                <w:left w:val="none" w:sz="0" w:space="0" w:color="auto"/>
                <w:bottom w:val="none" w:sz="0" w:space="0" w:color="auto"/>
                <w:right w:val="none" w:sz="0" w:space="0" w:color="auto"/>
              </w:divBdr>
            </w:div>
          </w:divsChild>
        </w:div>
        <w:div w:id="1954480797">
          <w:marLeft w:val="0"/>
          <w:marRight w:val="0"/>
          <w:marTop w:val="0"/>
          <w:marBottom w:val="0"/>
          <w:divBdr>
            <w:top w:val="none" w:sz="0" w:space="0" w:color="auto"/>
            <w:left w:val="none" w:sz="0" w:space="0" w:color="auto"/>
            <w:bottom w:val="none" w:sz="0" w:space="0" w:color="auto"/>
            <w:right w:val="none" w:sz="0" w:space="0" w:color="auto"/>
          </w:divBdr>
          <w:divsChild>
            <w:div w:id="1906407152">
              <w:marLeft w:val="0"/>
              <w:marRight w:val="0"/>
              <w:marTop w:val="0"/>
              <w:marBottom w:val="0"/>
              <w:divBdr>
                <w:top w:val="none" w:sz="0" w:space="0" w:color="auto"/>
                <w:left w:val="none" w:sz="0" w:space="0" w:color="auto"/>
                <w:bottom w:val="none" w:sz="0" w:space="0" w:color="auto"/>
                <w:right w:val="none" w:sz="0" w:space="0" w:color="auto"/>
              </w:divBdr>
            </w:div>
          </w:divsChild>
        </w:div>
        <w:div w:id="818305">
          <w:marLeft w:val="0"/>
          <w:marRight w:val="0"/>
          <w:marTop w:val="0"/>
          <w:marBottom w:val="0"/>
          <w:divBdr>
            <w:top w:val="none" w:sz="0" w:space="0" w:color="auto"/>
            <w:left w:val="none" w:sz="0" w:space="0" w:color="auto"/>
            <w:bottom w:val="none" w:sz="0" w:space="0" w:color="auto"/>
            <w:right w:val="none" w:sz="0" w:space="0" w:color="auto"/>
          </w:divBdr>
          <w:divsChild>
            <w:div w:id="1290476943">
              <w:marLeft w:val="0"/>
              <w:marRight w:val="0"/>
              <w:marTop w:val="0"/>
              <w:marBottom w:val="0"/>
              <w:divBdr>
                <w:top w:val="none" w:sz="0" w:space="0" w:color="auto"/>
                <w:left w:val="none" w:sz="0" w:space="0" w:color="auto"/>
                <w:bottom w:val="none" w:sz="0" w:space="0" w:color="auto"/>
                <w:right w:val="none" w:sz="0" w:space="0" w:color="auto"/>
              </w:divBdr>
            </w:div>
          </w:divsChild>
        </w:div>
        <w:div w:id="1106803007">
          <w:marLeft w:val="0"/>
          <w:marRight w:val="0"/>
          <w:marTop w:val="0"/>
          <w:marBottom w:val="0"/>
          <w:divBdr>
            <w:top w:val="none" w:sz="0" w:space="0" w:color="auto"/>
            <w:left w:val="none" w:sz="0" w:space="0" w:color="auto"/>
            <w:bottom w:val="none" w:sz="0" w:space="0" w:color="auto"/>
            <w:right w:val="none" w:sz="0" w:space="0" w:color="auto"/>
          </w:divBdr>
          <w:divsChild>
            <w:div w:id="390465264">
              <w:marLeft w:val="0"/>
              <w:marRight w:val="0"/>
              <w:marTop w:val="0"/>
              <w:marBottom w:val="0"/>
              <w:divBdr>
                <w:top w:val="none" w:sz="0" w:space="0" w:color="auto"/>
                <w:left w:val="none" w:sz="0" w:space="0" w:color="auto"/>
                <w:bottom w:val="none" w:sz="0" w:space="0" w:color="auto"/>
                <w:right w:val="none" w:sz="0" w:space="0" w:color="auto"/>
              </w:divBdr>
            </w:div>
          </w:divsChild>
        </w:div>
        <w:div w:id="1611549859">
          <w:marLeft w:val="0"/>
          <w:marRight w:val="0"/>
          <w:marTop w:val="0"/>
          <w:marBottom w:val="0"/>
          <w:divBdr>
            <w:top w:val="none" w:sz="0" w:space="0" w:color="auto"/>
            <w:left w:val="none" w:sz="0" w:space="0" w:color="auto"/>
            <w:bottom w:val="none" w:sz="0" w:space="0" w:color="auto"/>
            <w:right w:val="none" w:sz="0" w:space="0" w:color="auto"/>
          </w:divBdr>
          <w:divsChild>
            <w:div w:id="551501467">
              <w:marLeft w:val="0"/>
              <w:marRight w:val="0"/>
              <w:marTop w:val="0"/>
              <w:marBottom w:val="0"/>
              <w:divBdr>
                <w:top w:val="none" w:sz="0" w:space="0" w:color="auto"/>
                <w:left w:val="none" w:sz="0" w:space="0" w:color="auto"/>
                <w:bottom w:val="none" w:sz="0" w:space="0" w:color="auto"/>
                <w:right w:val="none" w:sz="0" w:space="0" w:color="auto"/>
              </w:divBdr>
            </w:div>
          </w:divsChild>
        </w:div>
        <w:div w:id="1976715092">
          <w:marLeft w:val="0"/>
          <w:marRight w:val="0"/>
          <w:marTop w:val="0"/>
          <w:marBottom w:val="0"/>
          <w:divBdr>
            <w:top w:val="none" w:sz="0" w:space="0" w:color="auto"/>
            <w:left w:val="none" w:sz="0" w:space="0" w:color="auto"/>
            <w:bottom w:val="none" w:sz="0" w:space="0" w:color="auto"/>
            <w:right w:val="none" w:sz="0" w:space="0" w:color="auto"/>
          </w:divBdr>
          <w:divsChild>
            <w:div w:id="9620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353766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351884">
      <w:bodyDiv w:val="1"/>
      <w:marLeft w:val="0"/>
      <w:marRight w:val="0"/>
      <w:marTop w:val="0"/>
      <w:marBottom w:val="0"/>
      <w:divBdr>
        <w:top w:val="none" w:sz="0" w:space="0" w:color="auto"/>
        <w:left w:val="none" w:sz="0" w:space="0" w:color="auto"/>
        <w:bottom w:val="none" w:sz="0" w:space="0" w:color="auto"/>
        <w:right w:val="none" w:sz="0" w:space="0" w:color="auto"/>
      </w:divBdr>
      <w:divsChild>
        <w:div w:id="1633175174">
          <w:marLeft w:val="0"/>
          <w:marRight w:val="0"/>
          <w:marTop w:val="0"/>
          <w:marBottom w:val="0"/>
          <w:divBdr>
            <w:top w:val="none" w:sz="0" w:space="0" w:color="auto"/>
            <w:left w:val="none" w:sz="0" w:space="0" w:color="auto"/>
            <w:bottom w:val="none" w:sz="0" w:space="0" w:color="auto"/>
            <w:right w:val="none" w:sz="0" w:space="0" w:color="auto"/>
          </w:divBdr>
        </w:div>
        <w:div w:id="527304828">
          <w:marLeft w:val="0"/>
          <w:marRight w:val="0"/>
          <w:marTop w:val="0"/>
          <w:marBottom w:val="0"/>
          <w:divBdr>
            <w:top w:val="none" w:sz="0" w:space="0" w:color="auto"/>
            <w:left w:val="none" w:sz="0" w:space="0" w:color="auto"/>
            <w:bottom w:val="none" w:sz="0" w:space="0" w:color="auto"/>
            <w:right w:val="none" w:sz="0" w:space="0" w:color="auto"/>
          </w:divBdr>
          <w:divsChild>
            <w:div w:id="449280917">
              <w:marLeft w:val="0"/>
              <w:marRight w:val="0"/>
              <w:marTop w:val="30"/>
              <w:marBottom w:val="30"/>
              <w:divBdr>
                <w:top w:val="none" w:sz="0" w:space="0" w:color="auto"/>
                <w:left w:val="none" w:sz="0" w:space="0" w:color="auto"/>
                <w:bottom w:val="none" w:sz="0" w:space="0" w:color="auto"/>
                <w:right w:val="none" w:sz="0" w:space="0" w:color="auto"/>
              </w:divBdr>
              <w:divsChild>
                <w:div w:id="1719167323">
                  <w:marLeft w:val="0"/>
                  <w:marRight w:val="0"/>
                  <w:marTop w:val="0"/>
                  <w:marBottom w:val="0"/>
                  <w:divBdr>
                    <w:top w:val="none" w:sz="0" w:space="0" w:color="auto"/>
                    <w:left w:val="none" w:sz="0" w:space="0" w:color="auto"/>
                    <w:bottom w:val="none" w:sz="0" w:space="0" w:color="auto"/>
                    <w:right w:val="none" w:sz="0" w:space="0" w:color="auto"/>
                  </w:divBdr>
                  <w:divsChild>
                    <w:div w:id="302389549">
                      <w:marLeft w:val="0"/>
                      <w:marRight w:val="0"/>
                      <w:marTop w:val="0"/>
                      <w:marBottom w:val="0"/>
                      <w:divBdr>
                        <w:top w:val="none" w:sz="0" w:space="0" w:color="auto"/>
                        <w:left w:val="none" w:sz="0" w:space="0" w:color="auto"/>
                        <w:bottom w:val="none" w:sz="0" w:space="0" w:color="auto"/>
                        <w:right w:val="none" w:sz="0" w:space="0" w:color="auto"/>
                      </w:divBdr>
                    </w:div>
                  </w:divsChild>
                </w:div>
                <w:div w:id="1458835832">
                  <w:marLeft w:val="0"/>
                  <w:marRight w:val="0"/>
                  <w:marTop w:val="0"/>
                  <w:marBottom w:val="0"/>
                  <w:divBdr>
                    <w:top w:val="none" w:sz="0" w:space="0" w:color="auto"/>
                    <w:left w:val="none" w:sz="0" w:space="0" w:color="auto"/>
                    <w:bottom w:val="none" w:sz="0" w:space="0" w:color="auto"/>
                    <w:right w:val="none" w:sz="0" w:space="0" w:color="auto"/>
                  </w:divBdr>
                  <w:divsChild>
                    <w:div w:id="1689721633">
                      <w:marLeft w:val="0"/>
                      <w:marRight w:val="0"/>
                      <w:marTop w:val="0"/>
                      <w:marBottom w:val="0"/>
                      <w:divBdr>
                        <w:top w:val="none" w:sz="0" w:space="0" w:color="auto"/>
                        <w:left w:val="none" w:sz="0" w:space="0" w:color="auto"/>
                        <w:bottom w:val="none" w:sz="0" w:space="0" w:color="auto"/>
                        <w:right w:val="none" w:sz="0" w:space="0" w:color="auto"/>
                      </w:divBdr>
                    </w:div>
                  </w:divsChild>
                </w:div>
                <w:div w:id="1103379406">
                  <w:marLeft w:val="0"/>
                  <w:marRight w:val="0"/>
                  <w:marTop w:val="0"/>
                  <w:marBottom w:val="0"/>
                  <w:divBdr>
                    <w:top w:val="none" w:sz="0" w:space="0" w:color="auto"/>
                    <w:left w:val="none" w:sz="0" w:space="0" w:color="auto"/>
                    <w:bottom w:val="none" w:sz="0" w:space="0" w:color="auto"/>
                    <w:right w:val="none" w:sz="0" w:space="0" w:color="auto"/>
                  </w:divBdr>
                  <w:divsChild>
                    <w:div w:id="696736716">
                      <w:marLeft w:val="0"/>
                      <w:marRight w:val="0"/>
                      <w:marTop w:val="0"/>
                      <w:marBottom w:val="0"/>
                      <w:divBdr>
                        <w:top w:val="none" w:sz="0" w:space="0" w:color="auto"/>
                        <w:left w:val="none" w:sz="0" w:space="0" w:color="auto"/>
                        <w:bottom w:val="none" w:sz="0" w:space="0" w:color="auto"/>
                        <w:right w:val="none" w:sz="0" w:space="0" w:color="auto"/>
                      </w:divBdr>
                    </w:div>
                  </w:divsChild>
                </w:div>
                <w:div w:id="206647126">
                  <w:marLeft w:val="0"/>
                  <w:marRight w:val="0"/>
                  <w:marTop w:val="0"/>
                  <w:marBottom w:val="0"/>
                  <w:divBdr>
                    <w:top w:val="none" w:sz="0" w:space="0" w:color="auto"/>
                    <w:left w:val="none" w:sz="0" w:space="0" w:color="auto"/>
                    <w:bottom w:val="none" w:sz="0" w:space="0" w:color="auto"/>
                    <w:right w:val="none" w:sz="0" w:space="0" w:color="auto"/>
                  </w:divBdr>
                  <w:divsChild>
                    <w:div w:id="1705054913">
                      <w:marLeft w:val="0"/>
                      <w:marRight w:val="0"/>
                      <w:marTop w:val="0"/>
                      <w:marBottom w:val="0"/>
                      <w:divBdr>
                        <w:top w:val="none" w:sz="0" w:space="0" w:color="auto"/>
                        <w:left w:val="none" w:sz="0" w:space="0" w:color="auto"/>
                        <w:bottom w:val="none" w:sz="0" w:space="0" w:color="auto"/>
                        <w:right w:val="none" w:sz="0" w:space="0" w:color="auto"/>
                      </w:divBdr>
                    </w:div>
                  </w:divsChild>
                </w:div>
                <w:div w:id="222444971">
                  <w:marLeft w:val="0"/>
                  <w:marRight w:val="0"/>
                  <w:marTop w:val="0"/>
                  <w:marBottom w:val="0"/>
                  <w:divBdr>
                    <w:top w:val="none" w:sz="0" w:space="0" w:color="auto"/>
                    <w:left w:val="none" w:sz="0" w:space="0" w:color="auto"/>
                    <w:bottom w:val="none" w:sz="0" w:space="0" w:color="auto"/>
                    <w:right w:val="none" w:sz="0" w:space="0" w:color="auto"/>
                  </w:divBdr>
                  <w:divsChild>
                    <w:div w:id="215824074">
                      <w:marLeft w:val="0"/>
                      <w:marRight w:val="0"/>
                      <w:marTop w:val="0"/>
                      <w:marBottom w:val="0"/>
                      <w:divBdr>
                        <w:top w:val="none" w:sz="0" w:space="0" w:color="auto"/>
                        <w:left w:val="none" w:sz="0" w:space="0" w:color="auto"/>
                        <w:bottom w:val="none" w:sz="0" w:space="0" w:color="auto"/>
                        <w:right w:val="none" w:sz="0" w:space="0" w:color="auto"/>
                      </w:divBdr>
                    </w:div>
                  </w:divsChild>
                </w:div>
                <w:div w:id="1060179535">
                  <w:marLeft w:val="0"/>
                  <w:marRight w:val="0"/>
                  <w:marTop w:val="0"/>
                  <w:marBottom w:val="0"/>
                  <w:divBdr>
                    <w:top w:val="none" w:sz="0" w:space="0" w:color="auto"/>
                    <w:left w:val="none" w:sz="0" w:space="0" w:color="auto"/>
                    <w:bottom w:val="none" w:sz="0" w:space="0" w:color="auto"/>
                    <w:right w:val="none" w:sz="0" w:space="0" w:color="auto"/>
                  </w:divBdr>
                  <w:divsChild>
                    <w:div w:id="1652758738">
                      <w:marLeft w:val="0"/>
                      <w:marRight w:val="0"/>
                      <w:marTop w:val="0"/>
                      <w:marBottom w:val="0"/>
                      <w:divBdr>
                        <w:top w:val="none" w:sz="0" w:space="0" w:color="auto"/>
                        <w:left w:val="none" w:sz="0" w:space="0" w:color="auto"/>
                        <w:bottom w:val="none" w:sz="0" w:space="0" w:color="auto"/>
                        <w:right w:val="none" w:sz="0" w:space="0" w:color="auto"/>
                      </w:divBdr>
                    </w:div>
                  </w:divsChild>
                </w:div>
                <w:div w:id="1032146840">
                  <w:marLeft w:val="0"/>
                  <w:marRight w:val="0"/>
                  <w:marTop w:val="0"/>
                  <w:marBottom w:val="0"/>
                  <w:divBdr>
                    <w:top w:val="none" w:sz="0" w:space="0" w:color="auto"/>
                    <w:left w:val="none" w:sz="0" w:space="0" w:color="auto"/>
                    <w:bottom w:val="none" w:sz="0" w:space="0" w:color="auto"/>
                    <w:right w:val="none" w:sz="0" w:space="0" w:color="auto"/>
                  </w:divBdr>
                  <w:divsChild>
                    <w:div w:id="1742212919">
                      <w:marLeft w:val="0"/>
                      <w:marRight w:val="0"/>
                      <w:marTop w:val="0"/>
                      <w:marBottom w:val="0"/>
                      <w:divBdr>
                        <w:top w:val="none" w:sz="0" w:space="0" w:color="auto"/>
                        <w:left w:val="none" w:sz="0" w:space="0" w:color="auto"/>
                        <w:bottom w:val="none" w:sz="0" w:space="0" w:color="auto"/>
                        <w:right w:val="none" w:sz="0" w:space="0" w:color="auto"/>
                      </w:divBdr>
                    </w:div>
                  </w:divsChild>
                </w:div>
                <w:div w:id="1655792911">
                  <w:marLeft w:val="0"/>
                  <w:marRight w:val="0"/>
                  <w:marTop w:val="0"/>
                  <w:marBottom w:val="0"/>
                  <w:divBdr>
                    <w:top w:val="none" w:sz="0" w:space="0" w:color="auto"/>
                    <w:left w:val="none" w:sz="0" w:space="0" w:color="auto"/>
                    <w:bottom w:val="none" w:sz="0" w:space="0" w:color="auto"/>
                    <w:right w:val="none" w:sz="0" w:space="0" w:color="auto"/>
                  </w:divBdr>
                  <w:divsChild>
                    <w:div w:id="434404543">
                      <w:marLeft w:val="0"/>
                      <w:marRight w:val="0"/>
                      <w:marTop w:val="0"/>
                      <w:marBottom w:val="0"/>
                      <w:divBdr>
                        <w:top w:val="none" w:sz="0" w:space="0" w:color="auto"/>
                        <w:left w:val="none" w:sz="0" w:space="0" w:color="auto"/>
                        <w:bottom w:val="none" w:sz="0" w:space="0" w:color="auto"/>
                        <w:right w:val="none" w:sz="0" w:space="0" w:color="auto"/>
                      </w:divBdr>
                    </w:div>
                  </w:divsChild>
                </w:div>
                <w:div w:id="298389523">
                  <w:marLeft w:val="0"/>
                  <w:marRight w:val="0"/>
                  <w:marTop w:val="0"/>
                  <w:marBottom w:val="0"/>
                  <w:divBdr>
                    <w:top w:val="none" w:sz="0" w:space="0" w:color="auto"/>
                    <w:left w:val="none" w:sz="0" w:space="0" w:color="auto"/>
                    <w:bottom w:val="none" w:sz="0" w:space="0" w:color="auto"/>
                    <w:right w:val="none" w:sz="0" w:space="0" w:color="auto"/>
                  </w:divBdr>
                  <w:divsChild>
                    <w:div w:id="104539689">
                      <w:marLeft w:val="0"/>
                      <w:marRight w:val="0"/>
                      <w:marTop w:val="0"/>
                      <w:marBottom w:val="0"/>
                      <w:divBdr>
                        <w:top w:val="none" w:sz="0" w:space="0" w:color="auto"/>
                        <w:left w:val="none" w:sz="0" w:space="0" w:color="auto"/>
                        <w:bottom w:val="none" w:sz="0" w:space="0" w:color="auto"/>
                        <w:right w:val="none" w:sz="0" w:space="0" w:color="auto"/>
                      </w:divBdr>
                    </w:div>
                  </w:divsChild>
                </w:div>
                <w:div w:id="1054348232">
                  <w:marLeft w:val="0"/>
                  <w:marRight w:val="0"/>
                  <w:marTop w:val="0"/>
                  <w:marBottom w:val="0"/>
                  <w:divBdr>
                    <w:top w:val="none" w:sz="0" w:space="0" w:color="auto"/>
                    <w:left w:val="none" w:sz="0" w:space="0" w:color="auto"/>
                    <w:bottom w:val="none" w:sz="0" w:space="0" w:color="auto"/>
                    <w:right w:val="none" w:sz="0" w:space="0" w:color="auto"/>
                  </w:divBdr>
                  <w:divsChild>
                    <w:div w:id="650788316">
                      <w:marLeft w:val="0"/>
                      <w:marRight w:val="0"/>
                      <w:marTop w:val="0"/>
                      <w:marBottom w:val="0"/>
                      <w:divBdr>
                        <w:top w:val="none" w:sz="0" w:space="0" w:color="auto"/>
                        <w:left w:val="none" w:sz="0" w:space="0" w:color="auto"/>
                        <w:bottom w:val="none" w:sz="0" w:space="0" w:color="auto"/>
                        <w:right w:val="none" w:sz="0" w:space="0" w:color="auto"/>
                      </w:divBdr>
                    </w:div>
                  </w:divsChild>
                </w:div>
                <w:div w:id="1299803793">
                  <w:marLeft w:val="0"/>
                  <w:marRight w:val="0"/>
                  <w:marTop w:val="0"/>
                  <w:marBottom w:val="0"/>
                  <w:divBdr>
                    <w:top w:val="none" w:sz="0" w:space="0" w:color="auto"/>
                    <w:left w:val="none" w:sz="0" w:space="0" w:color="auto"/>
                    <w:bottom w:val="none" w:sz="0" w:space="0" w:color="auto"/>
                    <w:right w:val="none" w:sz="0" w:space="0" w:color="auto"/>
                  </w:divBdr>
                  <w:divsChild>
                    <w:div w:id="1878272315">
                      <w:marLeft w:val="0"/>
                      <w:marRight w:val="0"/>
                      <w:marTop w:val="0"/>
                      <w:marBottom w:val="0"/>
                      <w:divBdr>
                        <w:top w:val="none" w:sz="0" w:space="0" w:color="auto"/>
                        <w:left w:val="none" w:sz="0" w:space="0" w:color="auto"/>
                        <w:bottom w:val="none" w:sz="0" w:space="0" w:color="auto"/>
                        <w:right w:val="none" w:sz="0" w:space="0" w:color="auto"/>
                      </w:divBdr>
                    </w:div>
                  </w:divsChild>
                </w:div>
                <w:div w:id="1554655220">
                  <w:marLeft w:val="0"/>
                  <w:marRight w:val="0"/>
                  <w:marTop w:val="0"/>
                  <w:marBottom w:val="0"/>
                  <w:divBdr>
                    <w:top w:val="none" w:sz="0" w:space="0" w:color="auto"/>
                    <w:left w:val="none" w:sz="0" w:space="0" w:color="auto"/>
                    <w:bottom w:val="none" w:sz="0" w:space="0" w:color="auto"/>
                    <w:right w:val="none" w:sz="0" w:space="0" w:color="auto"/>
                  </w:divBdr>
                  <w:divsChild>
                    <w:div w:id="1781562316">
                      <w:marLeft w:val="0"/>
                      <w:marRight w:val="0"/>
                      <w:marTop w:val="0"/>
                      <w:marBottom w:val="0"/>
                      <w:divBdr>
                        <w:top w:val="none" w:sz="0" w:space="0" w:color="auto"/>
                        <w:left w:val="none" w:sz="0" w:space="0" w:color="auto"/>
                        <w:bottom w:val="none" w:sz="0" w:space="0" w:color="auto"/>
                        <w:right w:val="none" w:sz="0" w:space="0" w:color="auto"/>
                      </w:divBdr>
                    </w:div>
                  </w:divsChild>
                </w:div>
                <w:div w:id="534385721">
                  <w:marLeft w:val="0"/>
                  <w:marRight w:val="0"/>
                  <w:marTop w:val="0"/>
                  <w:marBottom w:val="0"/>
                  <w:divBdr>
                    <w:top w:val="none" w:sz="0" w:space="0" w:color="auto"/>
                    <w:left w:val="none" w:sz="0" w:space="0" w:color="auto"/>
                    <w:bottom w:val="none" w:sz="0" w:space="0" w:color="auto"/>
                    <w:right w:val="none" w:sz="0" w:space="0" w:color="auto"/>
                  </w:divBdr>
                  <w:divsChild>
                    <w:div w:id="1501581295">
                      <w:marLeft w:val="0"/>
                      <w:marRight w:val="0"/>
                      <w:marTop w:val="0"/>
                      <w:marBottom w:val="0"/>
                      <w:divBdr>
                        <w:top w:val="none" w:sz="0" w:space="0" w:color="auto"/>
                        <w:left w:val="none" w:sz="0" w:space="0" w:color="auto"/>
                        <w:bottom w:val="none" w:sz="0" w:space="0" w:color="auto"/>
                        <w:right w:val="none" w:sz="0" w:space="0" w:color="auto"/>
                      </w:divBdr>
                    </w:div>
                  </w:divsChild>
                </w:div>
                <w:div w:id="588580123">
                  <w:marLeft w:val="0"/>
                  <w:marRight w:val="0"/>
                  <w:marTop w:val="0"/>
                  <w:marBottom w:val="0"/>
                  <w:divBdr>
                    <w:top w:val="none" w:sz="0" w:space="0" w:color="auto"/>
                    <w:left w:val="none" w:sz="0" w:space="0" w:color="auto"/>
                    <w:bottom w:val="none" w:sz="0" w:space="0" w:color="auto"/>
                    <w:right w:val="none" w:sz="0" w:space="0" w:color="auto"/>
                  </w:divBdr>
                  <w:divsChild>
                    <w:div w:id="1771194958">
                      <w:marLeft w:val="0"/>
                      <w:marRight w:val="0"/>
                      <w:marTop w:val="0"/>
                      <w:marBottom w:val="0"/>
                      <w:divBdr>
                        <w:top w:val="none" w:sz="0" w:space="0" w:color="auto"/>
                        <w:left w:val="none" w:sz="0" w:space="0" w:color="auto"/>
                        <w:bottom w:val="none" w:sz="0" w:space="0" w:color="auto"/>
                        <w:right w:val="none" w:sz="0" w:space="0" w:color="auto"/>
                      </w:divBdr>
                    </w:div>
                  </w:divsChild>
                </w:div>
                <w:div w:id="1411847832">
                  <w:marLeft w:val="0"/>
                  <w:marRight w:val="0"/>
                  <w:marTop w:val="0"/>
                  <w:marBottom w:val="0"/>
                  <w:divBdr>
                    <w:top w:val="none" w:sz="0" w:space="0" w:color="auto"/>
                    <w:left w:val="none" w:sz="0" w:space="0" w:color="auto"/>
                    <w:bottom w:val="none" w:sz="0" w:space="0" w:color="auto"/>
                    <w:right w:val="none" w:sz="0" w:space="0" w:color="auto"/>
                  </w:divBdr>
                  <w:divsChild>
                    <w:div w:id="1405640880">
                      <w:marLeft w:val="0"/>
                      <w:marRight w:val="0"/>
                      <w:marTop w:val="0"/>
                      <w:marBottom w:val="0"/>
                      <w:divBdr>
                        <w:top w:val="none" w:sz="0" w:space="0" w:color="auto"/>
                        <w:left w:val="none" w:sz="0" w:space="0" w:color="auto"/>
                        <w:bottom w:val="none" w:sz="0" w:space="0" w:color="auto"/>
                        <w:right w:val="none" w:sz="0" w:space="0" w:color="auto"/>
                      </w:divBdr>
                    </w:div>
                  </w:divsChild>
                </w:div>
                <w:div w:id="1895506471">
                  <w:marLeft w:val="0"/>
                  <w:marRight w:val="0"/>
                  <w:marTop w:val="0"/>
                  <w:marBottom w:val="0"/>
                  <w:divBdr>
                    <w:top w:val="none" w:sz="0" w:space="0" w:color="auto"/>
                    <w:left w:val="none" w:sz="0" w:space="0" w:color="auto"/>
                    <w:bottom w:val="none" w:sz="0" w:space="0" w:color="auto"/>
                    <w:right w:val="none" w:sz="0" w:space="0" w:color="auto"/>
                  </w:divBdr>
                  <w:divsChild>
                    <w:div w:id="1658915717">
                      <w:marLeft w:val="0"/>
                      <w:marRight w:val="0"/>
                      <w:marTop w:val="0"/>
                      <w:marBottom w:val="0"/>
                      <w:divBdr>
                        <w:top w:val="none" w:sz="0" w:space="0" w:color="auto"/>
                        <w:left w:val="none" w:sz="0" w:space="0" w:color="auto"/>
                        <w:bottom w:val="none" w:sz="0" w:space="0" w:color="auto"/>
                        <w:right w:val="none" w:sz="0" w:space="0" w:color="auto"/>
                      </w:divBdr>
                    </w:div>
                  </w:divsChild>
                </w:div>
                <w:div w:id="1111121480">
                  <w:marLeft w:val="0"/>
                  <w:marRight w:val="0"/>
                  <w:marTop w:val="0"/>
                  <w:marBottom w:val="0"/>
                  <w:divBdr>
                    <w:top w:val="none" w:sz="0" w:space="0" w:color="auto"/>
                    <w:left w:val="none" w:sz="0" w:space="0" w:color="auto"/>
                    <w:bottom w:val="none" w:sz="0" w:space="0" w:color="auto"/>
                    <w:right w:val="none" w:sz="0" w:space="0" w:color="auto"/>
                  </w:divBdr>
                  <w:divsChild>
                    <w:div w:id="919682151">
                      <w:marLeft w:val="0"/>
                      <w:marRight w:val="0"/>
                      <w:marTop w:val="0"/>
                      <w:marBottom w:val="0"/>
                      <w:divBdr>
                        <w:top w:val="none" w:sz="0" w:space="0" w:color="auto"/>
                        <w:left w:val="none" w:sz="0" w:space="0" w:color="auto"/>
                        <w:bottom w:val="none" w:sz="0" w:space="0" w:color="auto"/>
                        <w:right w:val="none" w:sz="0" w:space="0" w:color="auto"/>
                      </w:divBdr>
                    </w:div>
                  </w:divsChild>
                </w:div>
                <w:div w:id="1776048106">
                  <w:marLeft w:val="0"/>
                  <w:marRight w:val="0"/>
                  <w:marTop w:val="0"/>
                  <w:marBottom w:val="0"/>
                  <w:divBdr>
                    <w:top w:val="none" w:sz="0" w:space="0" w:color="auto"/>
                    <w:left w:val="none" w:sz="0" w:space="0" w:color="auto"/>
                    <w:bottom w:val="none" w:sz="0" w:space="0" w:color="auto"/>
                    <w:right w:val="none" w:sz="0" w:space="0" w:color="auto"/>
                  </w:divBdr>
                  <w:divsChild>
                    <w:div w:id="113136055">
                      <w:marLeft w:val="0"/>
                      <w:marRight w:val="0"/>
                      <w:marTop w:val="0"/>
                      <w:marBottom w:val="0"/>
                      <w:divBdr>
                        <w:top w:val="none" w:sz="0" w:space="0" w:color="auto"/>
                        <w:left w:val="none" w:sz="0" w:space="0" w:color="auto"/>
                        <w:bottom w:val="none" w:sz="0" w:space="0" w:color="auto"/>
                        <w:right w:val="none" w:sz="0" w:space="0" w:color="auto"/>
                      </w:divBdr>
                    </w:div>
                  </w:divsChild>
                </w:div>
                <w:div w:id="435951742">
                  <w:marLeft w:val="0"/>
                  <w:marRight w:val="0"/>
                  <w:marTop w:val="0"/>
                  <w:marBottom w:val="0"/>
                  <w:divBdr>
                    <w:top w:val="none" w:sz="0" w:space="0" w:color="auto"/>
                    <w:left w:val="none" w:sz="0" w:space="0" w:color="auto"/>
                    <w:bottom w:val="none" w:sz="0" w:space="0" w:color="auto"/>
                    <w:right w:val="none" w:sz="0" w:space="0" w:color="auto"/>
                  </w:divBdr>
                  <w:divsChild>
                    <w:div w:id="1414158736">
                      <w:marLeft w:val="0"/>
                      <w:marRight w:val="0"/>
                      <w:marTop w:val="0"/>
                      <w:marBottom w:val="0"/>
                      <w:divBdr>
                        <w:top w:val="none" w:sz="0" w:space="0" w:color="auto"/>
                        <w:left w:val="none" w:sz="0" w:space="0" w:color="auto"/>
                        <w:bottom w:val="none" w:sz="0" w:space="0" w:color="auto"/>
                        <w:right w:val="none" w:sz="0" w:space="0" w:color="auto"/>
                      </w:divBdr>
                    </w:div>
                  </w:divsChild>
                </w:div>
                <w:div w:id="1453595047">
                  <w:marLeft w:val="0"/>
                  <w:marRight w:val="0"/>
                  <w:marTop w:val="0"/>
                  <w:marBottom w:val="0"/>
                  <w:divBdr>
                    <w:top w:val="none" w:sz="0" w:space="0" w:color="auto"/>
                    <w:left w:val="none" w:sz="0" w:space="0" w:color="auto"/>
                    <w:bottom w:val="none" w:sz="0" w:space="0" w:color="auto"/>
                    <w:right w:val="none" w:sz="0" w:space="0" w:color="auto"/>
                  </w:divBdr>
                  <w:divsChild>
                    <w:div w:id="769663781">
                      <w:marLeft w:val="0"/>
                      <w:marRight w:val="0"/>
                      <w:marTop w:val="0"/>
                      <w:marBottom w:val="0"/>
                      <w:divBdr>
                        <w:top w:val="none" w:sz="0" w:space="0" w:color="auto"/>
                        <w:left w:val="none" w:sz="0" w:space="0" w:color="auto"/>
                        <w:bottom w:val="none" w:sz="0" w:space="0" w:color="auto"/>
                        <w:right w:val="none" w:sz="0" w:space="0" w:color="auto"/>
                      </w:divBdr>
                    </w:div>
                  </w:divsChild>
                </w:div>
                <w:div w:id="42101227">
                  <w:marLeft w:val="0"/>
                  <w:marRight w:val="0"/>
                  <w:marTop w:val="0"/>
                  <w:marBottom w:val="0"/>
                  <w:divBdr>
                    <w:top w:val="none" w:sz="0" w:space="0" w:color="auto"/>
                    <w:left w:val="none" w:sz="0" w:space="0" w:color="auto"/>
                    <w:bottom w:val="none" w:sz="0" w:space="0" w:color="auto"/>
                    <w:right w:val="none" w:sz="0" w:space="0" w:color="auto"/>
                  </w:divBdr>
                  <w:divsChild>
                    <w:div w:id="746223464">
                      <w:marLeft w:val="0"/>
                      <w:marRight w:val="0"/>
                      <w:marTop w:val="0"/>
                      <w:marBottom w:val="0"/>
                      <w:divBdr>
                        <w:top w:val="none" w:sz="0" w:space="0" w:color="auto"/>
                        <w:left w:val="none" w:sz="0" w:space="0" w:color="auto"/>
                        <w:bottom w:val="none" w:sz="0" w:space="0" w:color="auto"/>
                        <w:right w:val="none" w:sz="0" w:space="0" w:color="auto"/>
                      </w:divBdr>
                    </w:div>
                  </w:divsChild>
                </w:div>
                <w:div w:id="1469474240">
                  <w:marLeft w:val="0"/>
                  <w:marRight w:val="0"/>
                  <w:marTop w:val="0"/>
                  <w:marBottom w:val="0"/>
                  <w:divBdr>
                    <w:top w:val="none" w:sz="0" w:space="0" w:color="auto"/>
                    <w:left w:val="none" w:sz="0" w:space="0" w:color="auto"/>
                    <w:bottom w:val="none" w:sz="0" w:space="0" w:color="auto"/>
                    <w:right w:val="none" w:sz="0" w:space="0" w:color="auto"/>
                  </w:divBdr>
                  <w:divsChild>
                    <w:div w:id="53506775">
                      <w:marLeft w:val="0"/>
                      <w:marRight w:val="0"/>
                      <w:marTop w:val="0"/>
                      <w:marBottom w:val="0"/>
                      <w:divBdr>
                        <w:top w:val="none" w:sz="0" w:space="0" w:color="auto"/>
                        <w:left w:val="none" w:sz="0" w:space="0" w:color="auto"/>
                        <w:bottom w:val="none" w:sz="0" w:space="0" w:color="auto"/>
                        <w:right w:val="none" w:sz="0" w:space="0" w:color="auto"/>
                      </w:divBdr>
                    </w:div>
                  </w:divsChild>
                </w:div>
                <w:div w:id="1529639180">
                  <w:marLeft w:val="0"/>
                  <w:marRight w:val="0"/>
                  <w:marTop w:val="0"/>
                  <w:marBottom w:val="0"/>
                  <w:divBdr>
                    <w:top w:val="none" w:sz="0" w:space="0" w:color="auto"/>
                    <w:left w:val="none" w:sz="0" w:space="0" w:color="auto"/>
                    <w:bottom w:val="none" w:sz="0" w:space="0" w:color="auto"/>
                    <w:right w:val="none" w:sz="0" w:space="0" w:color="auto"/>
                  </w:divBdr>
                  <w:divsChild>
                    <w:div w:id="604072202">
                      <w:marLeft w:val="0"/>
                      <w:marRight w:val="0"/>
                      <w:marTop w:val="0"/>
                      <w:marBottom w:val="0"/>
                      <w:divBdr>
                        <w:top w:val="none" w:sz="0" w:space="0" w:color="auto"/>
                        <w:left w:val="none" w:sz="0" w:space="0" w:color="auto"/>
                        <w:bottom w:val="none" w:sz="0" w:space="0" w:color="auto"/>
                        <w:right w:val="none" w:sz="0" w:space="0" w:color="auto"/>
                      </w:divBdr>
                    </w:div>
                  </w:divsChild>
                </w:div>
                <w:div w:id="548803415">
                  <w:marLeft w:val="0"/>
                  <w:marRight w:val="0"/>
                  <w:marTop w:val="0"/>
                  <w:marBottom w:val="0"/>
                  <w:divBdr>
                    <w:top w:val="none" w:sz="0" w:space="0" w:color="auto"/>
                    <w:left w:val="none" w:sz="0" w:space="0" w:color="auto"/>
                    <w:bottom w:val="none" w:sz="0" w:space="0" w:color="auto"/>
                    <w:right w:val="none" w:sz="0" w:space="0" w:color="auto"/>
                  </w:divBdr>
                  <w:divsChild>
                    <w:div w:id="155458833">
                      <w:marLeft w:val="0"/>
                      <w:marRight w:val="0"/>
                      <w:marTop w:val="0"/>
                      <w:marBottom w:val="0"/>
                      <w:divBdr>
                        <w:top w:val="none" w:sz="0" w:space="0" w:color="auto"/>
                        <w:left w:val="none" w:sz="0" w:space="0" w:color="auto"/>
                        <w:bottom w:val="none" w:sz="0" w:space="0" w:color="auto"/>
                        <w:right w:val="none" w:sz="0" w:space="0" w:color="auto"/>
                      </w:divBdr>
                    </w:div>
                  </w:divsChild>
                </w:div>
                <w:div w:id="601300747">
                  <w:marLeft w:val="0"/>
                  <w:marRight w:val="0"/>
                  <w:marTop w:val="0"/>
                  <w:marBottom w:val="0"/>
                  <w:divBdr>
                    <w:top w:val="none" w:sz="0" w:space="0" w:color="auto"/>
                    <w:left w:val="none" w:sz="0" w:space="0" w:color="auto"/>
                    <w:bottom w:val="none" w:sz="0" w:space="0" w:color="auto"/>
                    <w:right w:val="none" w:sz="0" w:space="0" w:color="auto"/>
                  </w:divBdr>
                  <w:divsChild>
                    <w:div w:id="2068645039">
                      <w:marLeft w:val="0"/>
                      <w:marRight w:val="0"/>
                      <w:marTop w:val="0"/>
                      <w:marBottom w:val="0"/>
                      <w:divBdr>
                        <w:top w:val="none" w:sz="0" w:space="0" w:color="auto"/>
                        <w:left w:val="none" w:sz="0" w:space="0" w:color="auto"/>
                        <w:bottom w:val="none" w:sz="0" w:space="0" w:color="auto"/>
                        <w:right w:val="none" w:sz="0" w:space="0" w:color="auto"/>
                      </w:divBdr>
                    </w:div>
                  </w:divsChild>
                </w:div>
                <w:div w:id="826701290">
                  <w:marLeft w:val="0"/>
                  <w:marRight w:val="0"/>
                  <w:marTop w:val="0"/>
                  <w:marBottom w:val="0"/>
                  <w:divBdr>
                    <w:top w:val="none" w:sz="0" w:space="0" w:color="auto"/>
                    <w:left w:val="none" w:sz="0" w:space="0" w:color="auto"/>
                    <w:bottom w:val="none" w:sz="0" w:space="0" w:color="auto"/>
                    <w:right w:val="none" w:sz="0" w:space="0" w:color="auto"/>
                  </w:divBdr>
                  <w:divsChild>
                    <w:div w:id="2132354542">
                      <w:marLeft w:val="0"/>
                      <w:marRight w:val="0"/>
                      <w:marTop w:val="0"/>
                      <w:marBottom w:val="0"/>
                      <w:divBdr>
                        <w:top w:val="none" w:sz="0" w:space="0" w:color="auto"/>
                        <w:left w:val="none" w:sz="0" w:space="0" w:color="auto"/>
                        <w:bottom w:val="none" w:sz="0" w:space="0" w:color="auto"/>
                        <w:right w:val="none" w:sz="0" w:space="0" w:color="auto"/>
                      </w:divBdr>
                    </w:div>
                  </w:divsChild>
                </w:div>
                <w:div w:id="2048405246">
                  <w:marLeft w:val="0"/>
                  <w:marRight w:val="0"/>
                  <w:marTop w:val="0"/>
                  <w:marBottom w:val="0"/>
                  <w:divBdr>
                    <w:top w:val="none" w:sz="0" w:space="0" w:color="auto"/>
                    <w:left w:val="none" w:sz="0" w:space="0" w:color="auto"/>
                    <w:bottom w:val="none" w:sz="0" w:space="0" w:color="auto"/>
                    <w:right w:val="none" w:sz="0" w:space="0" w:color="auto"/>
                  </w:divBdr>
                  <w:divsChild>
                    <w:div w:id="1034697125">
                      <w:marLeft w:val="0"/>
                      <w:marRight w:val="0"/>
                      <w:marTop w:val="0"/>
                      <w:marBottom w:val="0"/>
                      <w:divBdr>
                        <w:top w:val="none" w:sz="0" w:space="0" w:color="auto"/>
                        <w:left w:val="none" w:sz="0" w:space="0" w:color="auto"/>
                        <w:bottom w:val="none" w:sz="0" w:space="0" w:color="auto"/>
                        <w:right w:val="none" w:sz="0" w:space="0" w:color="auto"/>
                      </w:divBdr>
                    </w:div>
                  </w:divsChild>
                </w:div>
                <w:div w:id="499858281">
                  <w:marLeft w:val="0"/>
                  <w:marRight w:val="0"/>
                  <w:marTop w:val="0"/>
                  <w:marBottom w:val="0"/>
                  <w:divBdr>
                    <w:top w:val="none" w:sz="0" w:space="0" w:color="auto"/>
                    <w:left w:val="none" w:sz="0" w:space="0" w:color="auto"/>
                    <w:bottom w:val="none" w:sz="0" w:space="0" w:color="auto"/>
                    <w:right w:val="none" w:sz="0" w:space="0" w:color="auto"/>
                  </w:divBdr>
                  <w:divsChild>
                    <w:div w:id="1268659198">
                      <w:marLeft w:val="0"/>
                      <w:marRight w:val="0"/>
                      <w:marTop w:val="0"/>
                      <w:marBottom w:val="0"/>
                      <w:divBdr>
                        <w:top w:val="none" w:sz="0" w:space="0" w:color="auto"/>
                        <w:left w:val="none" w:sz="0" w:space="0" w:color="auto"/>
                        <w:bottom w:val="none" w:sz="0" w:space="0" w:color="auto"/>
                        <w:right w:val="none" w:sz="0" w:space="0" w:color="auto"/>
                      </w:divBdr>
                    </w:div>
                  </w:divsChild>
                </w:div>
                <w:div w:id="880551745">
                  <w:marLeft w:val="0"/>
                  <w:marRight w:val="0"/>
                  <w:marTop w:val="0"/>
                  <w:marBottom w:val="0"/>
                  <w:divBdr>
                    <w:top w:val="none" w:sz="0" w:space="0" w:color="auto"/>
                    <w:left w:val="none" w:sz="0" w:space="0" w:color="auto"/>
                    <w:bottom w:val="none" w:sz="0" w:space="0" w:color="auto"/>
                    <w:right w:val="none" w:sz="0" w:space="0" w:color="auto"/>
                  </w:divBdr>
                  <w:divsChild>
                    <w:div w:id="1005210003">
                      <w:marLeft w:val="0"/>
                      <w:marRight w:val="0"/>
                      <w:marTop w:val="0"/>
                      <w:marBottom w:val="0"/>
                      <w:divBdr>
                        <w:top w:val="none" w:sz="0" w:space="0" w:color="auto"/>
                        <w:left w:val="none" w:sz="0" w:space="0" w:color="auto"/>
                        <w:bottom w:val="none" w:sz="0" w:space="0" w:color="auto"/>
                        <w:right w:val="none" w:sz="0" w:space="0" w:color="auto"/>
                      </w:divBdr>
                    </w:div>
                  </w:divsChild>
                </w:div>
                <w:div w:id="2023968316">
                  <w:marLeft w:val="0"/>
                  <w:marRight w:val="0"/>
                  <w:marTop w:val="0"/>
                  <w:marBottom w:val="0"/>
                  <w:divBdr>
                    <w:top w:val="none" w:sz="0" w:space="0" w:color="auto"/>
                    <w:left w:val="none" w:sz="0" w:space="0" w:color="auto"/>
                    <w:bottom w:val="none" w:sz="0" w:space="0" w:color="auto"/>
                    <w:right w:val="none" w:sz="0" w:space="0" w:color="auto"/>
                  </w:divBdr>
                  <w:divsChild>
                    <w:div w:id="1939021909">
                      <w:marLeft w:val="0"/>
                      <w:marRight w:val="0"/>
                      <w:marTop w:val="0"/>
                      <w:marBottom w:val="0"/>
                      <w:divBdr>
                        <w:top w:val="none" w:sz="0" w:space="0" w:color="auto"/>
                        <w:left w:val="none" w:sz="0" w:space="0" w:color="auto"/>
                        <w:bottom w:val="none" w:sz="0" w:space="0" w:color="auto"/>
                        <w:right w:val="none" w:sz="0" w:space="0" w:color="auto"/>
                      </w:divBdr>
                    </w:div>
                  </w:divsChild>
                </w:div>
                <w:div w:id="712269842">
                  <w:marLeft w:val="0"/>
                  <w:marRight w:val="0"/>
                  <w:marTop w:val="0"/>
                  <w:marBottom w:val="0"/>
                  <w:divBdr>
                    <w:top w:val="none" w:sz="0" w:space="0" w:color="auto"/>
                    <w:left w:val="none" w:sz="0" w:space="0" w:color="auto"/>
                    <w:bottom w:val="none" w:sz="0" w:space="0" w:color="auto"/>
                    <w:right w:val="none" w:sz="0" w:space="0" w:color="auto"/>
                  </w:divBdr>
                  <w:divsChild>
                    <w:div w:id="1949464108">
                      <w:marLeft w:val="0"/>
                      <w:marRight w:val="0"/>
                      <w:marTop w:val="0"/>
                      <w:marBottom w:val="0"/>
                      <w:divBdr>
                        <w:top w:val="none" w:sz="0" w:space="0" w:color="auto"/>
                        <w:left w:val="none" w:sz="0" w:space="0" w:color="auto"/>
                        <w:bottom w:val="none" w:sz="0" w:space="0" w:color="auto"/>
                        <w:right w:val="none" w:sz="0" w:space="0" w:color="auto"/>
                      </w:divBdr>
                    </w:div>
                  </w:divsChild>
                </w:div>
                <w:div w:id="1944919124">
                  <w:marLeft w:val="0"/>
                  <w:marRight w:val="0"/>
                  <w:marTop w:val="0"/>
                  <w:marBottom w:val="0"/>
                  <w:divBdr>
                    <w:top w:val="none" w:sz="0" w:space="0" w:color="auto"/>
                    <w:left w:val="none" w:sz="0" w:space="0" w:color="auto"/>
                    <w:bottom w:val="none" w:sz="0" w:space="0" w:color="auto"/>
                    <w:right w:val="none" w:sz="0" w:space="0" w:color="auto"/>
                  </w:divBdr>
                  <w:divsChild>
                    <w:div w:id="817847062">
                      <w:marLeft w:val="0"/>
                      <w:marRight w:val="0"/>
                      <w:marTop w:val="0"/>
                      <w:marBottom w:val="0"/>
                      <w:divBdr>
                        <w:top w:val="none" w:sz="0" w:space="0" w:color="auto"/>
                        <w:left w:val="none" w:sz="0" w:space="0" w:color="auto"/>
                        <w:bottom w:val="none" w:sz="0" w:space="0" w:color="auto"/>
                        <w:right w:val="none" w:sz="0" w:space="0" w:color="auto"/>
                      </w:divBdr>
                    </w:div>
                  </w:divsChild>
                </w:div>
                <w:div w:id="1948343970">
                  <w:marLeft w:val="0"/>
                  <w:marRight w:val="0"/>
                  <w:marTop w:val="0"/>
                  <w:marBottom w:val="0"/>
                  <w:divBdr>
                    <w:top w:val="none" w:sz="0" w:space="0" w:color="auto"/>
                    <w:left w:val="none" w:sz="0" w:space="0" w:color="auto"/>
                    <w:bottom w:val="none" w:sz="0" w:space="0" w:color="auto"/>
                    <w:right w:val="none" w:sz="0" w:space="0" w:color="auto"/>
                  </w:divBdr>
                  <w:divsChild>
                    <w:div w:id="1273587045">
                      <w:marLeft w:val="0"/>
                      <w:marRight w:val="0"/>
                      <w:marTop w:val="0"/>
                      <w:marBottom w:val="0"/>
                      <w:divBdr>
                        <w:top w:val="none" w:sz="0" w:space="0" w:color="auto"/>
                        <w:left w:val="none" w:sz="0" w:space="0" w:color="auto"/>
                        <w:bottom w:val="none" w:sz="0" w:space="0" w:color="auto"/>
                        <w:right w:val="none" w:sz="0" w:space="0" w:color="auto"/>
                      </w:divBdr>
                    </w:div>
                  </w:divsChild>
                </w:div>
                <w:div w:id="1264075997">
                  <w:marLeft w:val="0"/>
                  <w:marRight w:val="0"/>
                  <w:marTop w:val="0"/>
                  <w:marBottom w:val="0"/>
                  <w:divBdr>
                    <w:top w:val="none" w:sz="0" w:space="0" w:color="auto"/>
                    <w:left w:val="none" w:sz="0" w:space="0" w:color="auto"/>
                    <w:bottom w:val="none" w:sz="0" w:space="0" w:color="auto"/>
                    <w:right w:val="none" w:sz="0" w:space="0" w:color="auto"/>
                  </w:divBdr>
                  <w:divsChild>
                    <w:div w:id="559900848">
                      <w:marLeft w:val="0"/>
                      <w:marRight w:val="0"/>
                      <w:marTop w:val="0"/>
                      <w:marBottom w:val="0"/>
                      <w:divBdr>
                        <w:top w:val="none" w:sz="0" w:space="0" w:color="auto"/>
                        <w:left w:val="none" w:sz="0" w:space="0" w:color="auto"/>
                        <w:bottom w:val="none" w:sz="0" w:space="0" w:color="auto"/>
                        <w:right w:val="none" w:sz="0" w:space="0" w:color="auto"/>
                      </w:divBdr>
                    </w:div>
                  </w:divsChild>
                </w:div>
                <w:div w:id="1666594470">
                  <w:marLeft w:val="0"/>
                  <w:marRight w:val="0"/>
                  <w:marTop w:val="0"/>
                  <w:marBottom w:val="0"/>
                  <w:divBdr>
                    <w:top w:val="none" w:sz="0" w:space="0" w:color="auto"/>
                    <w:left w:val="none" w:sz="0" w:space="0" w:color="auto"/>
                    <w:bottom w:val="none" w:sz="0" w:space="0" w:color="auto"/>
                    <w:right w:val="none" w:sz="0" w:space="0" w:color="auto"/>
                  </w:divBdr>
                  <w:divsChild>
                    <w:div w:id="1712992712">
                      <w:marLeft w:val="0"/>
                      <w:marRight w:val="0"/>
                      <w:marTop w:val="0"/>
                      <w:marBottom w:val="0"/>
                      <w:divBdr>
                        <w:top w:val="none" w:sz="0" w:space="0" w:color="auto"/>
                        <w:left w:val="none" w:sz="0" w:space="0" w:color="auto"/>
                        <w:bottom w:val="none" w:sz="0" w:space="0" w:color="auto"/>
                        <w:right w:val="none" w:sz="0" w:space="0" w:color="auto"/>
                      </w:divBdr>
                    </w:div>
                  </w:divsChild>
                </w:div>
                <w:div w:id="1256674292">
                  <w:marLeft w:val="0"/>
                  <w:marRight w:val="0"/>
                  <w:marTop w:val="0"/>
                  <w:marBottom w:val="0"/>
                  <w:divBdr>
                    <w:top w:val="none" w:sz="0" w:space="0" w:color="auto"/>
                    <w:left w:val="none" w:sz="0" w:space="0" w:color="auto"/>
                    <w:bottom w:val="none" w:sz="0" w:space="0" w:color="auto"/>
                    <w:right w:val="none" w:sz="0" w:space="0" w:color="auto"/>
                  </w:divBdr>
                  <w:divsChild>
                    <w:div w:id="63618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7367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5AIRPNAIUNRU-1830940522-4893</_dlc_DocId>
    <_dlc_DocIdUrl xmlns="71c5aaf6-e6ce-465b-b873-5148d2a4c105">
      <Url>https://nokia.sharepoint.com/sites/c5g/5gradio/_layouts/15/DocIdRedir.aspx?ID=5AIRPNAIUNRU-1830940522-4893</Url>
      <Description>5AIRPNAIUNRU-1830940522-4893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85FCA29-6616-43D7-B6CE-EF8B55F7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2580</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Keating, Ryan (Nokia - US/Naperville)</cp:lastModifiedBy>
  <cp:revision>3</cp:revision>
  <cp:lastPrinted>2016-06-20T11:35:00Z</cp:lastPrinted>
  <dcterms:created xsi:type="dcterms:W3CDTF">2019-02-15T15:43:00Z</dcterms:created>
  <dcterms:modified xsi:type="dcterms:W3CDTF">2019-02-15T15:43:00Z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1621b1e7-81a5-4ff6-908e-b203981bae78</vt:lpwstr>
  </property>
</Properties>
</file>